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Carlito" w:hAnsi="Carlito"/>
          <w:sz w:val="24"/>
          <w:szCs w:val="24"/>
        </w:rPr>
      </w:pPr>
      <w:r>
        <w:rPr>
          <w:rFonts w:ascii="Carlito" w:hAnsi="Carlito"/>
          <w:b/>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ascii="Carlito" w:hAnsi="Carlito"/>
          <w:b/>
          <w:i w:val="false"/>
          <w:iCs w:val="false"/>
          <w:color w:val="000000"/>
          <w:sz w:val="24"/>
          <w:szCs w:val="24"/>
        </w:rPr>
        <w:t>AVISO DE DISPENSA ELETRÔNICA Nº 90185/2024</w:t>
      </w:r>
    </w:p>
    <w:p>
      <w:pPr>
        <w:pStyle w:val="Normal"/>
        <w:spacing w:lineRule="auto" w:line="276" w:before="0" w:after="120"/>
        <w:ind w:left="0" w:right="-15" w:hanging="0"/>
        <w:jc w:val="center"/>
        <w:rPr/>
      </w:pPr>
      <w:r>
        <w:rPr>
          <w:rFonts w:ascii="Carlito" w:hAnsi="Carlito"/>
          <w:b/>
          <w:i w:val="false"/>
          <w:iCs w:val="false"/>
          <w:color w:val="000000"/>
          <w:sz w:val="24"/>
          <w:szCs w:val="24"/>
        </w:rPr>
        <w:t xml:space="preserve">(Processo Administrativo </w:t>
      </w:r>
      <w:r>
        <w:rPr>
          <w:rStyle w:val="Strong"/>
          <w:rFonts w:eastAsia="Arial" w:cs="Arial" w:ascii="Carlito" w:hAnsi="Carlito"/>
          <w:b/>
          <w:bCs/>
          <w:i w:val="false"/>
          <w:iCs w:val="false"/>
          <w:color w:val="000000"/>
          <w:kern w:val="0"/>
          <w:sz w:val="24"/>
          <w:szCs w:val="24"/>
          <w:lang w:val="pt-BR" w:eastAsia="ar-SA" w:bidi="ar-SA"/>
        </w:rPr>
        <w:t xml:space="preserve">n.° </w:t>
      </w:r>
      <w:r>
        <w:rPr>
          <w:rStyle w:val="Nfaseforte"/>
          <w:rFonts w:eastAsia="Arial" w:cs="Arial" w:ascii="Carlito" w:hAnsi="Carlito"/>
          <w:i w:val="false"/>
          <w:iCs w:val="false"/>
          <w:color w:val="000000"/>
          <w:kern w:val="0"/>
          <w:sz w:val="24"/>
          <w:szCs w:val="24"/>
          <w:shd w:fill="auto" w:val="clear"/>
          <w:lang w:val="pt-BR" w:eastAsia="ar-SA" w:bidi="ar-SA"/>
        </w:rPr>
        <w:t>63430.003896/2024-14</w:t>
      </w:r>
      <w:r>
        <w:rPr>
          <w:rStyle w:val="Strong"/>
          <w:rFonts w:eastAsia="Times New Roman" w:cs="Arial" w:ascii="Carlito" w:hAnsi="Carlito"/>
          <w:i w:val="false"/>
          <w:iCs w:val="false"/>
          <w:color w:val="000000"/>
          <w:kern w:val="0"/>
          <w:sz w:val="24"/>
          <w:szCs w:val="24"/>
          <w:shd w:fill="auto" w:val="clear"/>
          <w:lang w:val="pt-BR" w:eastAsia="pt-BR" w:bidi="ar-SA"/>
        </w:rPr>
        <w:t>)</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spacing w:lineRule="auto" w:line="276" w:before="0" w:after="120"/>
        <w:ind w:left="0" w:right="-30" w:firstLine="540"/>
        <w:jc w:val="both"/>
        <w:rPr>
          <w:rFonts w:ascii="Carlito" w:hAnsi="Carlito"/>
          <w:sz w:val="24"/>
          <w:szCs w:val="24"/>
        </w:rPr>
      </w:pPr>
      <w:r>
        <w:rPr>
          <w:rFonts w:ascii="Carlito" w:hAnsi="Carlito"/>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w:hAnsi="Carlito"/>
          <w:b/>
          <w:i w:val="false"/>
          <w:iCs w:val="false"/>
          <w:color w:val="000000"/>
          <w:sz w:val="24"/>
          <w:szCs w:val="24"/>
        </w:rPr>
        <w:t xml:space="preserve"> </w:t>
      </w:r>
      <w:r>
        <w:rPr>
          <w:rFonts w:ascii="Carlito" w:hAnsi="Carlito"/>
          <w:b w:val="false"/>
          <w:bCs w:val="false"/>
          <w:i w:val="false"/>
          <w:iCs w:val="false"/>
          <w:color w:val="000000"/>
          <w:sz w:val="24"/>
          <w:szCs w:val="24"/>
        </w:rPr>
        <w:t>menor preço,</w:t>
      </w:r>
      <w:r>
        <w:rPr>
          <w:rFonts w:ascii="Carlito" w:hAnsi="Carlito"/>
          <w:b/>
          <w:i w:val="false"/>
          <w:iCs w:val="false"/>
          <w:color w:val="000000"/>
          <w:sz w:val="24"/>
          <w:szCs w:val="24"/>
        </w:rPr>
        <w:t xml:space="preserve"> </w:t>
      </w:r>
      <w:r>
        <w:rPr>
          <w:rFonts w:ascii="Carlito" w:hAnsi="Carlito"/>
          <w:i w:val="false"/>
          <w:iCs w:val="false"/>
          <w:color w:val="000000"/>
          <w:sz w:val="24"/>
          <w:szCs w:val="24"/>
        </w:rPr>
        <w:t>na hipótese do art. 75, inciso</w:t>
      </w:r>
      <w:r>
        <w:rPr>
          <w:rFonts w:ascii="Carlito" w:hAnsi="Carlito"/>
          <w:b/>
          <w:i w:val="false"/>
          <w:iCs w:val="false"/>
          <w:color w:val="000000"/>
          <w:sz w:val="24"/>
          <w:szCs w:val="24"/>
        </w:rPr>
        <w:t xml:space="preserve"> II</w:t>
      </w:r>
      <w:r>
        <w:rPr>
          <w:rFonts w:ascii="Carlito" w:hAnsi="Carlito"/>
          <w:i w:val="false"/>
          <w:iCs w:val="false"/>
          <w:color w:val="000000"/>
          <w:sz w:val="24"/>
          <w:szCs w:val="24"/>
        </w:rPr>
        <w:t>,</w:t>
      </w:r>
      <w:r>
        <w:rPr>
          <w:rFonts w:ascii="Carlito" w:hAnsi="Carlito"/>
          <w:i w:val="false"/>
          <w:iCs w:val="false"/>
          <w:color w:val="FF0000"/>
          <w:sz w:val="24"/>
          <w:szCs w:val="24"/>
        </w:rPr>
        <w:t xml:space="preserve"> </w:t>
      </w:r>
      <w:r>
        <w:rPr>
          <w:rFonts w:ascii="Carlito" w:hAnsi="Carlito"/>
          <w:i w:val="false"/>
          <w:iCs w:val="false"/>
          <w:sz w:val="24"/>
          <w:szCs w:val="24"/>
        </w:rPr>
        <w:t>nos termos da Lei nº 14.133, de 1º de abril de 2021, da Instrução Normativa SEGES/ME nº 67/2021 e demais legislação aplicável</w:t>
      </w:r>
      <w:r>
        <w:rPr>
          <w:rFonts w:ascii="Carlito" w:hAnsi="Carlito"/>
          <w:i w:val="false"/>
          <w:iCs w:val="false"/>
          <w:color w:val="000000"/>
          <w:sz w:val="24"/>
          <w:szCs w:val="24"/>
        </w:rPr>
        <w:t>.</w:t>
      </w:r>
    </w:p>
    <w:p>
      <w:pPr>
        <w:pStyle w:val="Normal"/>
        <w:spacing w:lineRule="auto" w:line="276"/>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jc w:val="both"/>
        <w:rPr>
          <w:rFonts w:ascii="Carlito" w:hAnsi="Carlito"/>
          <w:sz w:val="24"/>
          <w:szCs w:val="24"/>
        </w:rPr>
      </w:pPr>
      <w:r>
        <w:rPr>
          <w:rFonts w:ascii="Carlito" w:hAnsi="Carlito"/>
          <w:i w:val="false"/>
          <w:iCs w:val="false"/>
          <w:color w:val="000000"/>
          <w:sz w:val="24"/>
          <w:szCs w:val="24"/>
        </w:rPr>
        <w:t>Data da sessão:         /         /2024</w:t>
      </w:r>
    </w:p>
    <w:p>
      <w:pPr>
        <w:pStyle w:val="Normal"/>
        <w:jc w:val="both"/>
        <w:rPr>
          <w:rFonts w:ascii="Carlito" w:hAnsi="Carlito"/>
          <w:sz w:val="24"/>
          <w:szCs w:val="24"/>
        </w:rPr>
      </w:pPr>
      <w:r>
        <w:rPr>
          <w:rFonts w:ascii="Carlito" w:hAnsi="Carlito"/>
          <w:i w:val="false"/>
          <w:iCs w:val="false"/>
          <w:color w:val="000000"/>
          <w:sz w:val="24"/>
          <w:szCs w:val="24"/>
        </w:rPr>
        <w:t>Link: https://www.comprasnet.gov.br/seguro/loginPortal.asp</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spacing w:lineRule="auto" w:line="276" w:before="120" w:after="120"/>
        <w:ind w:left="0"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pacing w:lineRule="auto" w:line="276" w:before="120" w:after="120"/>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objeto da presente dispensa é a escolha da proposta mais vantajosa para a</w:t>
      </w:r>
      <w:r>
        <w:rPr>
          <w:rFonts w:eastAsia="Times New Roman" w:cs="Times New Roman" w:ascii="Carlito" w:hAnsi="Carlito"/>
          <w:b w:val="false"/>
          <w:bCs w:val="false"/>
          <w:i w:val="false"/>
          <w:iCs/>
          <w:caps w:val="false"/>
          <w:smallCaps w:val="false"/>
          <w:strike w:val="false"/>
          <w:dstrike w:val="false"/>
          <w:outline w:val="false"/>
          <w:shadow w:val="false"/>
          <w:color w:val="000000"/>
          <w:position w:val="0"/>
          <w:sz w:val="24"/>
          <w:sz w:val="24"/>
          <w:szCs w:val="24"/>
          <w:u w:val="none"/>
          <w:shd w:fill="auto" w:val="clear"/>
          <w:vertAlign w:val="baseline"/>
          <w:em w:val="none"/>
          <w:lang w:eastAsia="zxx" w:bidi="zxx"/>
        </w:rPr>
        <w:t>quisição de  material para o Batalh</w:t>
      </w:r>
      <w:r>
        <w:rPr>
          <w:rFonts w:eastAsia="Times New Roman" w:cs="Times New Roman" w:ascii="Carlito" w:hAnsi="Carlito"/>
          <w:b w:val="false"/>
          <w:bCs w:val="false"/>
          <w:i w:val="false"/>
          <w:iCs/>
          <w:caps w:val="false"/>
          <w:smallCaps w:val="false"/>
          <w:strike w:val="false"/>
          <w:dstrike w:val="false"/>
          <w:outline w:val="false"/>
          <w:shadow w:val="false"/>
          <w:color w:val="000000"/>
          <w:kern w:val="0"/>
          <w:position w:val="0"/>
          <w:sz w:val="24"/>
          <w:sz w:val="24"/>
          <w:szCs w:val="24"/>
          <w:u w:val="none"/>
          <w:shd w:fill="auto" w:val="clear"/>
          <w:vertAlign w:val="baseline"/>
          <w:em w:val="none"/>
          <w:lang w:val="pt-BR" w:eastAsia="zxx" w:bidi="zxx"/>
        </w:rPr>
        <w:t>ão em reposição ao utilizado no desfile de 07 de Setembro</w:t>
      </w: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pacing w:lineRule="auto" w:line="276" w:before="12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W w:w="10705" w:type="dxa"/>
        <w:jc w:val="left"/>
        <w:tblInd w:w="-497" w:type="dxa"/>
        <w:tblLayout w:type="fixed"/>
        <w:tblCellMar>
          <w:top w:w="0" w:type="dxa"/>
          <w:left w:w="53" w:type="dxa"/>
          <w:bottom w:w="0" w:type="dxa"/>
          <w:right w:w="108" w:type="dxa"/>
        </w:tblCellMar>
      </w:tblPr>
      <w:tblGrid>
        <w:gridCol w:w="731"/>
        <w:gridCol w:w="1945"/>
        <w:gridCol w:w="894"/>
        <w:gridCol w:w="896"/>
        <w:gridCol w:w="1041"/>
        <w:gridCol w:w="783"/>
        <w:gridCol w:w="1125"/>
        <w:gridCol w:w="1155"/>
        <w:gridCol w:w="1080"/>
        <w:gridCol w:w="1054"/>
      </w:tblGrid>
      <w:tr>
        <w:trPr/>
        <w:tc>
          <w:tcPr>
            <w:tcW w:w="731"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4"/>
                <w:szCs w:val="14"/>
              </w:rPr>
            </w:pPr>
            <w:r>
              <w:rPr>
                <w:rFonts w:cs="Arial" w:ascii="Carlito" w:hAnsi="Carlito"/>
                <w:b/>
                <w:bCs/>
                <w:color w:val="000000"/>
                <w:sz w:val="14"/>
                <w:szCs w:val="14"/>
              </w:rPr>
              <w:t>ITEM</w:t>
            </w:r>
          </w:p>
          <w:p>
            <w:pPr>
              <w:pStyle w:val="Normal"/>
              <w:widowControl w:val="false"/>
              <w:suppressAutoHyphens w:val="true"/>
              <w:spacing w:lineRule="auto" w:line="276" w:before="0" w:after="0"/>
              <w:jc w:val="center"/>
              <w:rPr>
                <w:rFonts w:ascii="Carlito" w:hAnsi="Carlito" w:cs="Arial"/>
                <w:b/>
                <w:b/>
                <w:bCs/>
                <w:color w:val="000000"/>
                <w:sz w:val="14"/>
                <w:szCs w:val="14"/>
              </w:rPr>
            </w:pPr>
            <w:r>
              <w:rPr>
                <w:rFonts w:cs="Arial" w:ascii="Carlito" w:hAnsi="Carlito"/>
                <w:b/>
                <w:bCs/>
                <w:color w:val="000000"/>
                <w:sz w:val="14"/>
                <w:szCs w:val="14"/>
              </w:rPr>
            </w:r>
          </w:p>
        </w:tc>
        <w:tc>
          <w:tcPr>
            <w:tcW w:w="1945"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4"/>
                <w:szCs w:val="14"/>
              </w:rPr>
            </w:pPr>
            <w:r>
              <w:rPr>
                <w:rFonts w:cs="Arial" w:ascii="Carlito" w:hAnsi="Carlito"/>
                <w:b/>
                <w:bCs/>
                <w:color w:val="000000"/>
                <w:sz w:val="14"/>
                <w:szCs w:val="14"/>
              </w:rPr>
              <w:t>ESPECIFICAÇÃO</w:t>
            </w:r>
          </w:p>
        </w:tc>
        <w:tc>
          <w:tcPr>
            <w:tcW w:w="894"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4"/>
                <w:szCs w:val="14"/>
              </w:rPr>
            </w:pPr>
            <w:r>
              <w:rPr>
                <w:rFonts w:ascii="Carlito" w:hAnsi="Carlito"/>
                <w:b/>
                <w:bCs/>
                <w:sz w:val="14"/>
                <w:szCs w:val="14"/>
              </w:rPr>
              <w:t>PDM</w:t>
            </w:r>
          </w:p>
        </w:tc>
        <w:tc>
          <w:tcPr>
            <w:tcW w:w="896"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4"/>
                <w:szCs w:val="14"/>
              </w:rPr>
            </w:pPr>
            <w:r>
              <w:rPr>
                <w:rFonts w:ascii="Carlito" w:hAnsi="Carlito"/>
                <w:b/>
                <w:bCs/>
                <w:sz w:val="14"/>
                <w:szCs w:val="14"/>
              </w:rPr>
              <w:t>CATMAT</w:t>
            </w:r>
          </w:p>
        </w:tc>
        <w:tc>
          <w:tcPr>
            <w:tcW w:w="1041"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4"/>
                <w:szCs w:val="14"/>
              </w:rPr>
            </w:pPr>
            <w:r>
              <w:rPr>
                <w:rFonts w:cs="Arial" w:ascii="Carlito" w:hAnsi="Carlito"/>
                <w:b/>
                <w:bCs/>
                <w:color w:val="000000"/>
                <w:sz w:val="14"/>
                <w:szCs w:val="14"/>
              </w:rPr>
              <w:t>UNIDADE DE MEDIDA</w:t>
            </w:r>
          </w:p>
        </w:tc>
        <w:tc>
          <w:tcPr>
            <w:tcW w:w="783"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4"/>
                <w:szCs w:val="14"/>
              </w:rPr>
            </w:pPr>
            <w:r>
              <w:rPr>
                <w:rFonts w:cs="Arial" w:ascii="Carlito" w:hAnsi="Carlito"/>
                <w:b/>
                <w:bCs/>
                <w:sz w:val="14"/>
                <w:szCs w:val="14"/>
              </w:rPr>
              <w:t>QUANT</w:t>
            </w:r>
          </w:p>
        </w:tc>
        <w:tc>
          <w:tcPr>
            <w:tcW w:w="1125"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4"/>
                <w:szCs w:val="14"/>
              </w:rPr>
            </w:pPr>
            <w:r>
              <w:rPr>
                <w:rFonts w:cs="Arial" w:ascii="Carlito" w:hAnsi="Carlito"/>
                <w:b/>
                <w:bCs/>
                <w:sz w:val="14"/>
                <w:szCs w:val="14"/>
              </w:rPr>
              <w:t>VALOR UNITÁRIO</w:t>
            </w:r>
          </w:p>
        </w:tc>
        <w:tc>
          <w:tcPr>
            <w:tcW w:w="1155"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4"/>
                <w:szCs w:val="14"/>
              </w:rPr>
            </w:pPr>
            <w:r>
              <w:rPr>
                <w:rFonts w:cs="Arial" w:ascii="Carlito" w:hAnsi="Carlito"/>
                <w:b/>
                <w:bCs/>
                <w:sz w:val="14"/>
                <w:szCs w:val="14"/>
              </w:rPr>
              <w:t>VALOR TOTAL</w:t>
            </w:r>
          </w:p>
        </w:tc>
        <w:tc>
          <w:tcPr>
            <w:tcW w:w="1080" w:type="dxa"/>
            <w:tcBorders>
              <w:top w:val="single" w:sz="4" w:space="0" w:color="000001"/>
              <w:left w:val="single" w:sz="4" w:space="0" w:color="000001"/>
              <w:bottom w:val="single" w:sz="4" w:space="0" w:color="000001"/>
              <w:right w:val="single" w:sz="4" w:space="0" w:color="000001"/>
            </w:tcBorders>
          </w:tcPr>
          <w:p>
            <w:pPr>
              <w:pStyle w:val="Normal"/>
              <w:widowControl w:val="false"/>
              <w:jc w:val="both"/>
              <w:rPr>
                <w:sz w:val="14"/>
                <w:szCs w:val="14"/>
              </w:rPr>
            </w:pPr>
            <w:r>
              <w:rPr>
                <w:rFonts w:ascii="Carlito" w:hAnsi="Carlito"/>
                <w:b/>
                <w:bCs/>
                <w:i w:val="false"/>
                <w:iCs w:val="false"/>
                <w:color w:val="000000"/>
                <w:sz w:val="14"/>
                <w:szCs w:val="14"/>
              </w:rPr>
              <w:t>LOCAL DE ENTREGA</w:t>
            </w:r>
          </w:p>
        </w:tc>
        <w:tc>
          <w:tcPr>
            <w:tcW w:w="1054" w:type="dxa"/>
            <w:tcBorders>
              <w:top w:val="single" w:sz="4" w:space="0" w:color="000001"/>
              <w:left w:val="single" w:sz="4" w:space="0" w:color="000001"/>
              <w:bottom w:val="single" w:sz="4" w:space="0" w:color="000001"/>
              <w:right w:val="single" w:sz="4" w:space="0" w:color="000001"/>
            </w:tcBorders>
          </w:tcPr>
          <w:p>
            <w:pPr>
              <w:pStyle w:val="Normal"/>
              <w:widowControl w:val="false"/>
              <w:jc w:val="both"/>
              <w:rPr>
                <w:sz w:val="14"/>
                <w:szCs w:val="14"/>
              </w:rPr>
            </w:pPr>
            <w:r>
              <w:rPr>
                <w:rFonts w:ascii="Carlito" w:hAnsi="Carlito"/>
                <w:b/>
                <w:bCs/>
                <w:i w:val="false"/>
                <w:iCs w:val="false"/>
                <w:color w:val="000000"/>
                <w:sz w:val="14"/>
                <w:szCs w:val="14"/>
              </w:rPr>
              <w:t>PRAZO DE ENTREGA</w:t>
            </w:r>
          </w:p>
        </w:tc>
      </w:tr>
      <w:tr>
        <w:trPr>
          <w:trHeight w:val="1166" w:hRule="atLeast"/>
        </w:trPr>
        <w:tc>
          <w:tcPr>
            <w:tcW w:w="731" w:type="dxa"/>
            <w:tcBorders>
              <w:left w:val="single" w:sz="4" w:space="0" w:color="000001"/>
              <w:bottom w:val="single" w:sz="4" w:space="0" w:color="000001"/>
              <w:right w:val="single" w:sz="4" w:space="0" w:color="000001"/>
            </w:tcBorders>
            <w:vAlign w:val="center"/>
          </w:tcPr>
          <w:p>
            <w:pPr>
              <w:pStyle w:val="Contedodatabela"/>
              <w:widowControl w:val="false"/>
              <w:jc w:val="center"/>
              <w:rPr>
                <w:sz w:val="14"/>
                <w:szCs w:val="14"/>
              </w:rPr>
            </w:pPr>
            <w:r>
              <w:rPr>
                <w:rFonts w:ascii="Carlito" w:hAnsi="Carlito"/>
                <w:color w:val="000000"/>
                <w:sz w:val="14"/>
                <w:szCs w:val="14"/>
              </w:rPr>
              <w:t>1</w:t>
            </w:r>
          </w:p>
        </w:tc>
        <w:tc>
          <w:tcPr>
            <w:tcW w:w="1945" w:type="dxa"/>
            <w:tcBorders>
              <w:left w:val="single" w:sz="4" w:space="0" w:color="000001"/>
              <w:bottom w:val="single" w:sz="4" w:space="0" w:color="000001"/>
              <w:right w:val="single" w:sz="4" w:space="0" w:color="000001"/>
            </w:tcBorders>
            <w:vAlign w:val="center"/>
          </w:tcPr>
          <w:p>
            <w:pPr>
              <w:pStyle w:val="Normal"/>
              <w:widowControl w:val="false"/>
              <w:bidi w:val="0"/>
              <w:jc w:val="center"/>
              <w:rPr>
                <w:sz w:val="14"/>
                <w:szCs w:val="14"/>
              </w:rPr>
            </w:pPr>
            <w:r>
              <w:rPr>
                <w:rFonts w:ascii="Carlito" w:hAnsi="Carlito"/>
                <w:b w:val="false"/>
                <w:i w:val="false"/>
                <w:strike w:val="false"/>
                <w:dstrike w:val="false"/>
                <w:outline w:val="false"/>
                <w:shadow w:val="false"/>
                <w:color w:val="000000"/>
                <w:sz w:val="14"/>
                <w:szCs w:val="14"/>
                <w:u w:val="none"/>
                <w:em w:val="none"/>
              </w:rPr>
              <w:t>ROÇADEIRA A GASOLINA   STIHL 221    Cilindrada de 37.7 cc.</w:t>
            </w:r>
          </w:p>
          <w:p>
            <w:pPr>
              <w:pStyle w:val="Normal"/>
              <w:widowControl w:val="false"/>
              <w:bidi w:val="0"/>
              <w:jc w:val="center"/>
              <w:rPr>
                <w:sz w:val="14"/>
                <w:szCs w:val="14"/>
              </w:rPr>
            </w:pPr>
            <w:r>
              <w:rPr>
                <w:rFonts w:ascii="Carlito" w:hAnsi="Carlito"/>
                <w:b w:val="false"/>
                <w:i w:val="false"/>
                <w:strike w:val="false"/>
                <w:dstrike w:val="false"/>
                <w:outline w:val="false"/>
                <w:shadow w:val="false"/>
                <w:sz w:val="14"/>
                <w:szCs w:val="14"/>
                <w:u w:val="none"/>
                <w:em w:val="none"/>
              </w:rPr>
              <w:t xml:space="preserve">    </w:t>
            </w:r>
            <w:r>
              <w:rPr>
                <w:rFonts w:ascii="Carlito" w:hAnsi="Carlito"/>
                <w:b w:val="false"/>
                <w:i w:val="false"/>
                <w:strike w:val="false"/>
                <w:dstrike w:val="false"/>
                <w:outline w:val="false"/>
                <w:shadow w:val="false"/>
                <w:sz w:val="14"/>
                <w:szCs w:val="14"/>
                <w:u w:val="none"/>
                <w:em w:val="none"/>
              </w:rPr>
              <w:t>Com cabo aberto.</w:t>
            </w:r>
          </w:p>
          <w:p>
            <w:pPr>
              <w:pStyle w:val="Normal"/>
              <w:widowControl w:val="false"/>
              <w:bidi w:val="0"/>
              <w:jc w:val="center"/>
              <w:rPr>
                <w:sz w:val="14"/>
                <w:szCs w:val="14"/>
              </w:rPr>
            </w:pPr>
            <w:r>
              <w:rPr>
                <w:rFonts w:ascii="Carlito" w:hAnsi="Carlito"/>
                <w:b w:val="false"/>
                <w:i w:val="false"/>
                <w:strike w:val="false"/>
                <w:dstrike w:val="false"/>
                <w:outline w:val="false"/>
                <w:shadow w:val="false"/>
                <w:sz w:val="14"/>
                <w:szCs w:val="14"/>
                <w:u w:val="none"/>
                <w:em w:val="none"/>
              </w:rPr>
              <w:t xml:space="preserve">    </w:t>
            </w:r>
            <w:r>
              <w:rPr>
                <w:rFonts w:ascii="Carlito" w:hAnsi="Carlito"/>
                <w:b w:val="false"/>
                <w:i w:val="false"/>
                <w:strike w:val="false"/>
                <w:dstrike w:val="false"/>
                <w:outline w:val="false"/>
                <w:shadow w:val="false"/>
                <w:sz w:val="14"/>
                <w:szCs w:val="14"/>
                <w:u w:val="none"/>
                <w:em w:val="none"/>
              </w:rPr>
              <w:t>Cabo ajustável.</w:t>
            </w:r>
          </w:p>
          <w:p>
            <w:pPr>
              <w:pStyle w:val="Normal"/>
              <w:widowControl w:val="false"/>
              <w:bidi w:val="0"/>
              <w:jc w:val="center"/>
              <w:rPr>
                <w:sz w:val="14"/>
                <w:szCs w:val="14"/>
              </w:rPr>
            </w:pPr>
            <w:r>
              <w:rPr>
                <w:rFonts w:ascii="Carlito" w:hAnsi="Carlito"/>
                <w:b w:val="false"/>
                <w:i w:val="false"/>
                <w:strike w:val="false"/>
                <w:dstrike w:val="false"/>
                <w:outline w:val="false"/>
                <w:shadow w:val="false"/>
                <w:sz w:val="14"/>
                <w:szCs w:val="14"/>
                <w:u w:val="none"/>
                <w:em w:val="none"/>
              </w:rPr>
              <w:t xml:space="preserve">    </w:t>
            </w:r>
            <w:r>
              <w:rPr>
                <w:rFonts w:ascii="Carlito" w:hAnsi="Carlito"/>
                <w:b w:val="false"/>
                <w:i w:val="false"/>
                <w:strike w:val="false"/>
                <w:dstrike w:val="false"/>
                <w:outline w:val="false"/>
                <w:shadow w:val="false"/>
                <w:sz w:val="14"/>
                <w:szCs w:val="14"/>
                <w:u w:val="none"/>
                <w:em w:val="none"/>
              </w:rPr>
              <w:t>Com protetor de segurança.</w:t>
            </w:r>
          </w:p>
          <w:p>
            <w:pPr>
              <w:pStyle w:val="Normal"/>
              <w:widowControl w:val="false"/>
              <w:bidi w:val="0"/>
              <w:jc w:val="center"/>
              <w:rPr>
                <w:sz w:val="14"/>
                <w:szCs w:val="14"/>
              </w:rPr>
            </w:pPr>
            <w:r>
              <w:rPr>
                <w:rFonts w:ascii="Carlito" w:hAnsi="Carlito"/>
                <w:b w:val="false"/>
                <w:i w:val="false"/>
                <w:strike w:val="false"/>
                <w:dstrike w:val="false"/>
                <w:outline w:val="false"/>
                <w:shadow w:val="false"/>
                <w:sz w:val="14"/>
                <w:szCs w:val="14"/>
                <w:u w:val="none"/>
                <w:em w:val="none"/>
              </w:rPr>
              <w:t xml:space="preserve">    </w:t>
            </w:r>
            <w:r>
              <w:rPr>
                <w:rFonts w:ascii="Carlito" w:hAnsi="Carlito"/>
                <w:b w:val="false"/>
                <w:i w:val="false"/>
                <w:strike w:val="false"/>
                <w:dstrike w:val="false"/>
                <w:outline w:val="false"/>
                <w:shadow w:val="false"/>
                <w:sz w:val="14"/>
                <w:szCs w:val="14"/>
                <w:u w:val="none"/>
                <w:em w:val="none"/>
              </w:rPr>
              <w:t>Possui sistema anti-vibratório.</w:t>
            </w:r>
          </w:p>
          <w:p>
            <w:pPr>
              <w:pStyle w:val="Normal"/>
              <w:widowControl w:val="false"/>
              <w:bidi w:val="0"/>
              <w:jc w:val="center"/>
              <w:rPr>
                <w:sz w:val="14"/>
                <w:szCs w:val="14"/>
              </w:rPr>
            </w:pPr>
            <w:r>
              <w:rPr>
                <w:rFonts w:ascii="Carlito" w:hAnsi="Carlito"/>
                <w:b w:val="false"/>
                <w:i w:val="false"/>
                <w:strike w:val="false"/>
                <w:dstrike w:val="false"/>
                <w:outline w:val="false"/>
                <w:shadow w:val="false"/>
                <w:sz w:val="14"/>
                <w:szCs w:val="14"/>
                <w:u w:val="none"/>
                <w:em w:val="none"/>
              </w:rPr>
              <w:t xml:space="preserve">    </w:t>
            </w:r>
            <w:r>
              <w:rPr>
                <w:rFonts w:ascii="Carlito" w:hAnsi="Carlito"/>
                <w:b w:val="false"/>
                <w:i w:val="false"/>
                <w:strike w:val="false"/>
                <w:dstrike w:val="false"/>
                <w:outline w:val="false"/>
                <w:shadow w:val="false"/>
                <w:sz w:val="14"/>
                <w:szCs w:val="14"/>
                <w:u w:val="none"/>
                <w:em w:val="none"/>
              </w:rPr>
              <w:t>Tem uma potência de 1.7 kW.</w:t>
            </w:r>
          </w:p>
          <w:p>
            <w:pPr>
              <w:pStyle w:val="Normal"/>
              <w:widowControl w:val="false"/>
              <w:bidi w:val="0"/>
              <w:jc w:val="center"/>
              <w:rPr>
                <w:sz w:val="14"/>
                <w:szCs w:val="14"/>
              </w:rPr>
            </w:pPr>
            <w:r>
              <w:rPr>
                <w:rFonts w:ascii="Carlito" w:hAnsi="Carlito"/>
                <w:b w:val="false"/>
                <w:i w:val="false"/>
                <w:strike w:val="false"/>
                <w:dstrike w:val="false"/>
                <w:outline w:val="false"/>
                <w:shadow w:val="false"/>
                <w:sz w:val="14"/>
                <w:szCs w:val="14"/>
                <w:u w:val="none"/>
                <w:em w:val="none"/>
              </w:rPr>
              <w:t xml:space="preserve">    </w:t>
            </w:r>
            <w:r>
              <w:rPr>
                <w:rFonts w:ascii="Carlito" w:hAnsi="Carlito"/>
                <w:b w:val="false"/>
                <w:i w:val="false"/>
                <w:strike w:val="false"/>
                <w:dstrike w:val="false"/>
                <w:outline w:val="false"/>
                <w:shadow w:val="false"/>
                <w:sz w:val="14"/>
                <w:szCs w:val="14"/>
                <w:u w:val="none"/>
                <w:em w:val="none"/>
              </w:rPr>
              <w:t>Eixo reto.</w:t>
            </w:r>
          </w:p>
          <w:p>
            <w:pPr>
              <w:pStyle w:val="Normal"/>
              <w:widowControl w:val="false"/>
              <w:bidi w:val="0"/>
              <w:jc w:val="center"/>
              <w:rPr>
                <w:sz w:val="14"/>
                <w:szCs w:val="14"/>
              </w:rPr>
            </w:pPr>
            <w:r>
              <w:rPr>
                <w:rFonts w:ascii="Carlito" w:hAnsi="Carlito"/>
                <w:b w:val="false"/>
                <w:i w:val="false"/>
                <w:strike w:val="false"/>
                <w:dstrike w:val="false"/>
                <w:outline w:val="false"/>
                <w:shadow w:val="false"/>
                <w:sz w:val="14"/>
                <w:szCs w:val="14"/>
                <w:u w:val="none"/>
                <w:em w:val="none"/>
              </w:rPr>
              <w:t xml:space="preserve">    </w:t>
            </w:r>
            <w:r>
              <w:rPr>
                <w:rFonts w:ascii="Carlito" w:hAnsi="Carlito"/>
                <w:b w:val="false"/>
                <w:i w:val="false"/>
                <w:strike w:val="false"/>
                <w:dstrike w:val="false"/>
                <w:outline w:val="false"/>
                <w:shadow w:val="false"/>
                <w:sz w:val="14"/>
                <w:szCs w:val="14"/>
                <w:u w:val="none"/>
                <w:em w:val="none"/>
              </w:rPr>
              <w:t>O tanque de combustível tem uma capacidade de 750 mL.</w:t>
            </w:r>
          </w:p>
          <w:p>
            <w:pPr>
              <w:pStyle w:val="Normal"/>
              <w:widowControl w:val="false"/>
              <w:bidi w:val="0"/>
              <w:jc w:val="center"/>
              <w:rPr>
                <w:sz w:val="14"/>
                <w:szCs w:val="14"/>
              </w:rPr>
            </w:pPr>
            <w:r>
              <w:rPr>
                <w:rFonts w:ascii="Carlito" w:hAnsi="Carlito"/>
                <w:b w:val="false"/>
                <w:i w:val="false"/>
                <w:strike w:val="false"/>
                <w:dstrike w:val="false"/>
                <w:outline w:val="false"/>
                <w:shadow w:val="false"/>
                <w:sz w:val="14"/>
                <w:szCs w:val="14"/>
                <w:u w:val="none"/>
                <w:em w:val="none"/>
              </w:rPr>
              <w:t xml:space="preserve">    </w:t>
            </w:r>
            <w:r>
              <w:rPr>
                <w:rFonts w:ascii="Carlito" w:hAnsi="Carlito"/>
                <w:b w:val="false"/>
                <w:i w:val="false"/>
                <w:strike w:val="false"/>
                <w:dstrike w:val="false"/>
                <w:outline w:val="false"/>
                <w:shadow w:val="false"/>
                <w:sz w:val="14"/>
                <w:szCs w:val="14"/>
                <w:u w:val="none"/>
                <w:em w:val="none"/>
              </w:rPr>
              <w:t>Pesa 7.7 kg.</w:t>
            </w:r>
          </w:p>
          <w:p>
            <w:pPr>
              <w:pStyle w:val="Contedodatabela"/>
              <w:widowControl w:val="false"/>
              <w:jc w:val="center"/>
              <w:rPr>
                <w:rFonts w:ascii="Carlito" w:hAnsi="Carlito"/>
                <w:color w:val="000000"/>
                <w:sz w:val="14"/>
                <w:szCs w:val="14"/>
              </w:rPr>
            </w:pPr>
            <w:r>
              <w:rPr>
                <w:rFonts w:ascii="Carlito" w:hAnsi="Carlito"/>
                <w:color w:val="000000"/>
                <w:sz w:val="14"/>
                <w:szCs w:val="14"/>
              </w:rPr>
            </w:r>
          </w:p>
        </w:tc>
        <w:tc>
          <w:tcPr>
            <w:tcW w:w="894" w:type="dxa"/>
            <w:tcBorders>
              <w:left w:val="single" w:sz="4" w:space="0" w:color="000001"/>
              <w:bottom w:val="single" w:sz="4" w:space="0" w:color="000001"/>
              <w:right w:val="single" w:sz="4" w:space="0" w:color="000001"/>
            </w:tcBorders>
            <w:vAlign w:val="center"/>
          </w:tcPr>
          <w:p>
            <w:pPr>
              <w:pStyle w:val="Normal"/>
              <w:widowControl w:val="false"/>
              <w:bidi w:val="0"/>
              <w:jc w:val="center"/>
              <w:rPr>
                <w:sz w:val="14"/>
                <w:szCs w:val="14"/>
              </w:rPr>
            </w:pPr>
            <w:r>
              <w:rPr>
                <w:rFonts w:ascii="Carlito" w:hAnsi="Carlito"/>
                <w:b w:val="false"/>
                <w:i w:val="false"/>
                <w:strike w:val="false"/>
                <w:dstrike w:val="false"/>
                <w:outline w:val="false"/>
                <w:shadow w:val="false"/>
                <w:color w:val="000000"/>
                <w:sz w:val="14"/>
                <w:szCs w:val="14"/>
                <w:u w:val="none"/>
                <w:em w:val="none"/>
              </w:rPr>
              <w:t>1461</w:t>
            </w:r>
          </w:p>
        </w:tc>
        <w:tc>
          <w:tcPr>
            <w:tcW w:w="896" w:type="dxa"/>
            <w:tcBorders>
              <w:left w:val="single" w:sz="4" w:space="0" w:color="000001"/>
              <w:bottom w:val="single" w:sz="4" w:space="0" w:color="000001"/>
              <w:right w:val="single" w:sz="4" w:space="0" w:color="000001"/>
            </w:tcBorders>
            <w:vAlign w:val="center"/>
          </w:tcPr>
          <w:p>
            <w:pPr>
              <w:pStyle w:val="Normal"/>
              <w:widowControl w:val="false"/>
              <w:bidi w:val="0"/>
              <w:jc w:val="center"/>
              <w:rPr>
                <w:sz w:val="14"/>
                <w:szCs w:val="14"/>
              </w:rPr>
            </w:pPr>
            <w:r>
              <w:rPr>
                <w:rFonts w:ascii="Carlito" w:hAnsi="Carlito"/>
                <w:b w:val="false"/>
                <w:i w:val="false"/>
                <w:strike w:val="false"/>
                <w:dstrike w:val="false"/>
                <w:outline w:val="false"/>
                <w:shadow w:val="false"/>
                <w:color w:val="000000"/>
                <w:sz w:val="14"/>
                <w:szCs w:val="14"/>
                <w:u w:val="none"/>
                <w:em w:val="none"/>
              </w:rPr>
              <w:t>223012</w:t>
            </w:r>
          </w:p>
        </w:tc>
        <w:tc>
          <w:tcPr>
            <w:tcW w:w="1041" w:type="dxa"/>
            <w:tcBorders>
              <w:left w:val="single" w:sz="4" w:space="0" w:color="000001"/>
              <w:bottom w:val="single" w:sz="4" w:space="0" w:color="000001"/>
              <w:right w:val="single" w:sz="4" w:space="0" w:color="000001"/>
            </w:tcBorders>
            <w:vAlign w:val="center"/>
          </w:tcPr>
          <w:p>
            <w:pPr>
              <w:pStyle w:val="Contedodatabela"/>
              <w:widowControl w:val="false"/>
              <w:jc w:val="center"/>
              <w:rPr>
                <w:sz w:val="14"/>
                <w:szCs w:val="14"/>
              </w:rPr>
            </w:pPr>
            <w:r>
              <w:rPr>
                <w:rFonts w:ascii="Carlito" w:hAnsi="Carlito"/>
                <w:color w:val="000000"/>
                <w:sz w:val="14"/>
                <w:szCs w:val="14"/>
              </w:rPr>
              <w:t>UN</w:t>
            </w:r>
          </w:p>
        </w:tc>
        <w:tc>
          <w:tcPr>
            <w:tcW w:w="783" w:type="dxa"/>
            <w:tcBorders>
              <w:left w:val="single" w:sz="4" w:space="0" w:color="000001"/>
              <w:bottom w:val="single" w:sz="4" w:space="0" w:color="000001"/>
              <w:right w:val="single" w:sz="4" w:space="0" w:color="000001"/>
            </w:tcBorders>
            <w:vAlign w:val="center"/>
          </w:tcPr>
          <w:p>
            <w:pPr>
              <w:pStyle w:val="Contedodatabela"/>
              <w:widowControl w:val="false"/>
              <w:jc w:val="center"/>
              <w:rPr>
                <w:sz w:val="14"/>
                <w:szCs w:val="14"/>
              </w:rPr>
            </w:pPr>
            <w:r>
              <w:rPr>
                <w:rFonts w:ascii="Carlito" w:hAnsi="Carlito"/>
                <w:color w:val="000000"/>
                <w:sz w:val="14"/>
                <w:szCs w:val="14"/>
              </w:rPr>
              <w:t>1</w:t>
            </w:r>
          </w:p>
        </w:tc>
        <w:tc>
          <w:tcPr>
            <w:tcW w:w="1125" w:type="dxa"/>
            <w:tcBorders>
              <w:left w:val="single" w:sz="4" w:space="0" w:color="000001"/>
              <w:bottom w:val="single" w:sz="4" w:space="0" w:color="000001"/>
              <w:right w:val="single" w:sz="4" w:space="0" w:color="000001"/>
            </w:tcBorders>
            <w:vAlign w:val="center"/>
          </w:tcPr>
          <w:p>
            <w:pPr>
              <w:pStyle w:val="Contedodatabela"/>
              <w:widowControl w:val="false"/>
              <w:jc w:val="left"/>
              <w:rPr>
                <w:sz w:val="14"/>
                <w:szCs w:val="14"/>
              </w:rPr>
            </w:pPr>
            <w:r>
              <w:rPr>
                <w:rFonts w:ascii="Carlito" w:hAnsi="Carlito"/>
                <w:sz w:val="14"/>
                <w:szCs w:val="14"/>
              </w:rPr>
              <w:t>R$ 4.250,00</w:t>
            </w:r>
          </w:p>
        </w:tc>
        <w:tc>
          <w:tcPr>
            <w:tcW w:w="1155" w:type="dxa"/>
            <w:tcBorders>
              <w:left w:val="single" w:sz="4" w:space="0" w:color="000001"/>
              <w:bottom w:val="single" w:sz="4" w:space="0" w:color="000001"/>
              <w:right w:val="single" w:sz="4" w:space="0" w:color="000001"/>
            </w:tcBorders>
            <w:vAlign w:val="center"/>
          </w:tcPr>
          <w:p>
            <w:pPr>
              <w:pStyle w:val="Normal"/>
              <w:widowControl w:val="false"/>
              <w:spacing w:lineRule="auto" w:line="276" w:before="0" w:after="120"/>
              <w:jc w:val="center"/>
              <w:rPr>
                <w:sz w:val="14"/>
                <w:szCs w:val="14"/>
              </w:rPr>
            </w:pPr>
            <w:r>
              <w:rPr>
                <w:rFonts w:ascii="Carlito" w:hAnsi="Carlito"/>
                <w:color w:val="000000"/>
                <w:sz w:val="14"/>
                <w:szCs w:val="14"/>
                <w:shd w:fill="auto" w:val="clear"/>
              </w:rPr>
              <w:fldChar w:fldCharType="begin"/>
            </w:r>
            <w:r>
              <w:rPr>
                <w:sz w:val="14"/>
                <w:shd w:fill="auto" w:val="clear"/>
                <w:szCs w:val="14"/>
                <w:rFonts w:ascii="Carlito" w:hAnsi="Carlito"/>
                <w:color w:val="000000"/>
              </w:rPr>
              <w:instrText xml:space="preserve"> =G2*F2</w:instrText>
            </w:r>
            <w:r>
              <w:rPr>
                <w:sz w:val="14"/>
                <w:shd w:fill="auto" w:val="clear"/>
                <w:szCs w:val="14"/>
                <w:rFonts w:ascii="Carlito" w:hAnsi="Carlito"/>
                <w:color w:val="000000"/>
              </w:rPr>
              <w:fldChar w:fldCharType="separate"/>
            </w:r>
            <w:r>
              <w:rPr>
                <w:sz w:val="14"/>
                <w:shd w:fill="auto" w:val="clear"/>
                <w:szCs w:val="14"/>
                <w:rFonts w:ascii="Carlito" w:hAnsi="Carlito"/>
                <w:color w:val="000000"/>
              </w:rPr>
              <w:t>4250</w:t>
            </w:r>
            <w:r>
              <w:rPr>
                <w:sz w:val="14"/>
                <w:shd w:fill="auto" w:val="clear"/>
                <w:szCs w:val="14"/>
                <w:rFonts w:ascii="Carlito" w:hAnsi="Carlito"/>
                <w:color w:val="000000"/>
              </w:rPr>
              <w:fldChar w:fldCharType="end"/>
            </w:r>
          </w:p>
        </w:tc>
        <w:tc>
          <w:tcPr>
            <w:tcW w:w="1080" w:type="dxa"/>
            <w:tcBorders>
              <w:left w:val="single" w:sz="4" w:space="0" w:color="000001"/>
              <w:bottom w:val="single" w:sz="4" w:space="0" w:color="000001"/>
              <w:right w:val="single" w:sz="4" w:space="0" w:color="000001"/>
            </w:tcBorders>
            <w:vAlign w:val="center"/>
          </w:tcPr>
          <w:p>
            <w:pPr>
              <w:pStyle w:val="Calibri"/>
              <w:widowControl w:val="false"/>
              <w:spacing w:before="57" w:after="57"/>
              <w:jc w:val="center"/>
              <w:rPr>
                <w:sz w:val="14"/>
                <w:szCs w:val="14"/>
              </w:rPr>
            </w:pPr>
            <w:r>
              <w:rPr>
                <w:rFonts w:eastAsia="Times New Roman" w:cs="Times New Roman" w:ascii="Carlito" w:hAnsi="Carlito"/>
                <w:color w:val="000000"/>
                <w:kern w:val="2"/>
                <w:sz w:val="14"/>
                <w:szCs w:val="14"/>
                <w:shd w:fill="FFFFFF" w:val="clear"/>
                <w:lang w:val="pt-BR" w:eastAsia="zh-CN" w:bidi="hi-IN"/>
              </w:rPr>
              <w:t>Batalhão de Operações Especiais de Fuzileiros Navais</w:t>
            </w:r>
          </w:p>
        </w:tc>
        <w:tc>
          <w:tcPr>
            <w:tcW w:w="1054" w:type="dxa"/>
            <w:tcBorders>
              <w:left w:val="single" w:sz="4" w:space="0" w:color="000001"/>
              <w:bottom w:val="single" w:sz="4" w:space="0" w:color="000001"/>
              <w:right w:val="single" w:sz="4" w:space="0" w:color="000001"/>
            </w:tcBorders>
            <w:vAlign w:val="center"/>
          </w:tcPr>
          <w:p>
            <w:pPr>
              <w:pStyle w:val="Normal"/>
              <w:widowControl w:val="false"/>
              <w:tabs>
                <w:tab w:val="clear" w:pos="709"/>
                <w:tab w:val="left" w:pos="729" w:leader="none"/>
              </w:tabs>
              <w:spacing w:lineRule="auto" w:line="276" w:before="0" w:after="120"/>
              <w:jc w:val="center"/>
              <w:rPr>
                <w:sz w:val="14"/>
                <w:szCs w:val="14"/>
              </w:rPr>
            </w:pPr>
            <w:r>
              <w:rPr>
                <w:rFonts w:ascii="Carlito" w:hAnsi="Carlito"/>
                <w:i w:val="false"/>
                <w:iCs w:val="false"/>
                <w:color w:val="000000"/>
                <w:sz w:val="14"/>
                <w:szCs w:val="14"/>
                <w:shd w:fill="FFFFFF" w:val="clear"/>
              </w:rPr>
              <w:t>15 DIAS</w:t>
            </w:r>
          </w:p>
        </w:tc>
      </w:tr>
      <w:tr>
        <w:trPr>
          <w:trHeight w:val="1166" w:hRule="atLeast"/>
        </w:trPr>
        <w:tc>
          <w:tcPr>
            <w:tcW w:w="731" w:type="dxa"/>
            <w:tcBorders>
              <w:left w:val="single" w:sz="4" w:space="0" w:color="000001"/>
              <w:bottom w:val="single" w:sz="4" w:space="0" w:color="000001"/>
              <w:right w:val="single" w:sz="4" w:space="0" w:color="000001"/>
            </w:tcBorders>
            <w:vAlign w:val="center"/>
          </w:tcPr>
          <w:p>
            <w:pPr>
              <w:pStyle w:val="Contedodatabela"/>
              <w:widowControl w:val="false"/>
              <w:jc w:val="center"/>
              <w:rPr>
                <w:sz w:val="14"/>
                <w:szCs w:val="14"/>
              </w:rPr>
            </w:pPr>
            <w:r>
              <w:rPr>
                <w:rFonts w:ascii="Carlito" w:hAnsi="Carlito"/>
                <w:color w:val="000000"/>
                <w:sz w:val="14"/>
                <w:szCs w:val="14"/>
              </w:rPr>
              <w:t>2</w:t>
            </w:r>
          </w:p>
        </w:tc>
        <w:tc>
          <w:tcPr>
            <w:tcW w:w="1945" w:type="dxa"/>
            <w:tcBorders>
              <w:left w:val="single" w:sz="4" w:space="0" w:color="000001"/>
              <w:bottom w:val="single" w:sz="4" w:space="0" w:color="000001"/>
              <w:right w:val="single" w:sz="4" w:space="0" w:color="000001"/>
            </w:tcBorders>
            <w:vAlign w:val="center"/>
          </w:tcPr>
          <w:p>
            <w:pPr>
              <w:pStyle w:val="Normal"/>
              <w:widowControl w:val="false"/>
              <w:bidi w:val="0"/>
              <w:jc w:val="center"/>
              <w:rPr>
                <w:sz w:val="14"/>
                <w:szCs w:val="14"/>
              </w:rPr>
            </w:pPr>
            <w:r>
              <w:rPr>
                <w:rFonts w:ascii="Carlito" w:hAnsi="Carlito"/>
                <w:b w:val="false"/>
                <w:i w:val="false"/>
                <w:strike w:val="false"/>
                <w:dstrike w:val="false"/>
                <w:outline w:val="false"/>
                <w:shadow w:val="false"/>
                <w:color w:val="000000"/>
                <w:sz w:val="14"/>
                <w:szCs w:val="14"/>
                <w:u w:val="none"/>
                <w:em w:val="none"/>
              </w:rPr>
              <w:t>MOTOSSERRA A GASOLINA STHIL MS 310 COM CORRENTE E SABRE.</w:t>
            </w:r>
          </w:p>
        </w:tc>
        <w:tc>
          <w:tcPr>
            <w:tcW w:w="894" w:type="dxa"/>
            <w:tcBorders>
              <w:left w:val="single" w:sz="4" w:space="0" w:color="000001"/>
              <w:bottom w:val="single" w:sz="4" w:space="0" w:color="000001"/>
              <w:right w:val="single" w:sz="4" w:space="0" w:color="000001"/>
            </w:tcBorders>
            <w:vAlign w:val="center"/>
          </w:tcPr>
          <w:p>
            <w:pPr>
              <w:pStyle w:val="Normal"/>
              <w:widowControl w:val="false"/>
              <w:bidi w:val="0"/>
              <w:jc w:val="center"/>
              <w:rPr>
                <w:sz w:val="14"/>
                <w:szCs w:val="14"/>
              </w:rPr>
            </w:pPr>
            <w:r>
              <w:rPr>
                <w:rFonts w:ascii="Carlito" w:hAnsi="Carlito"/>
                <w:b w:val="false"/>
                <w:i w:val="false"/>
                <w:strike w:val="false"/>
                <w:dstrike w:val="false"/>
                <w:outline w:val="false"/>
                <w:shadow w:val="false"/>
                <w:color w:val="000000"/>
                <w:sz w:val="14"/>
                <w:szCs w:val="14"/>
                <w:u w:val="none"/>
                <w:em w:val="none"/>
              </w:rPr>
              <w:t>15189</w:t>
            </w:r>
          </w:p>
        </w:tc>
        <w:tc>
          <w:tcPr>
            <w:tcW w:w="896" w:type="dxa"/>
            <w:tcBorders>
              <w:left w:val="single" w:sz="4" w:space="0" w:color="000001"/>
              <w:bottom w:val="single" w:sz="4" w:space="0" w:color="000001"/>
              <w:right w:val="single" w:sz="4" w:space="0" w:color="000001"/>
            </w:tcBorders>
            <w:vAlign w:val="center"/>
          </w:tcPr>
          <w:p>
            <w:pPr>
              <w:pStyle w:val="Normal"/>
              <w:widowControl w:val="false"/>
              <w:bidi w:val="0"/>
              <w:jc w:val="center"/>
              <w:rPr>
                <w:sz w:val="14"/>
                <w:szCs w:val="14"/>
              </w:rPr>
            </w:pPr>
            <w:r>
              <w:rPr>
                <w:rFonts w:ascii="Carlito" w:hAnsi="Carlito"/>
                <w:b w:val="false"/>
                <w:i w:val="false"/>
                <w:strike w:val="false"/>
                <w:dstrike w:val="false"/>
                <w:outline w:val="false"/>
                <w:shadow w:val="false"/>
                <w:color w:val="000000"/>
                <w:sz w:val="14"/>
                <w:szCs w:val="14"/>
                <w:u w:val="none"/>
                <w:em w:val="none"/>
              </w:rPr>
              <w:t>312587</w:t>
            </w:r>
          </w:p>
        </w:tc>
        <w:tc>
          <w:tcPr>
            <w:tcW w:w="1041" w:type="dxa"/>
            <w:tcBorders>
              <w:left w:val="single" w:sz="4" w:space="0" w:color="000001"/>
              <w:bottom w:val="single" w:sz="4" w:space="0" w:color="000001"/>
              <w:right w:val="single" w:sz="4" w:space="0" w:color="000001"/>
            </w:tcBorders>
            <w:vAlign w:val="center"/>
          </w:tcPr>
          <w:p>
            <w:pPr>
              <w:pStyle w:val="Contedodatabela"/>
              <w:widowControl w:val="false"/>
              <w:jc w:val="center"/>
              <w:rPr>
                <w:sz w:val="14"/>
                <w:szCs w:val="14"/>
              </w:rPr>
            </w:pPr>
            <w:r>
              <w:rPr>
                <w:rFonts w:ascii="Carlito" w:hAnsi="Carlito"/>
                <w:color w:val="000000"/>
                <w:sz w:val="14"/>
                <w:szCs w:val="14"/>
              </w:rPr>
              <w:t>UN</w:t>
            </w:r>
          </w:p>
        </w:tc>
        <w:tc>
          <w:tcPr>
            <w:tcW w:w="783" w:type="dxa"/>
            <w:tcBorders>
              <w:left w:val="single" w:sz="4" w:space="0" w:color="000001"/>
              <w:bottom w:val="single" w:sz="4" w:space="0" w:color="000001"/>
              <w:right w:val="single" w:sz="4" w:space="0" w:color="000001"/>
            </w:tcBorders>
            <w:vAlign w:val="center"/>
          </w:tcPr>
          <w:p>
            <w:pPr>
              <w:pStyle w:val="Contedodatabela"/>
              <w:widowControl w:val="false"/>
              <w:rPr>
                <w:sz w:val="14"/>
                <w:szCs w:val="14"/>
              </w:rPr>
            </w:pPr>
            <w:r>
              <w:rPr>
                <w:rFonts w:ascii="Carlito" w:hAnsi="Carlito"/>
                <w:color w:val="000000"/>
                <w:sz w:val="14"/>
                <w:szCs w:val="14"/>
              </w:rPr>
              <w:t>1</w:t>
            </w:r>
          </w:p>
        </w:tc>
        <w:tc>
          <w:tcPr>
            <w:tcW w:w="1125" w:type="dxa"/>
            <w:tcBorders>
              <w:left w:val="single" w:sz="4" w:space="0" w:color="000001"/>
              <w:bottom w:val="single" w:sz="4" w:space="0" w:color="000001"/>
              <w:right w:val="single" w:sz="4" w:space="0" w:color="000001"/>
            </w:tcBorders>
            <w:vAlign w:val="center"/>
          </w:tcPr>
          <w:p>
            <w:pPr>
              <w:pStyle w:val="Contedodatabela"/>
              <w:widowControl w:val="false"/>
              <w:rPr>
                <w:sz w:val="14"/>
                <w:szCs w:val="14"/>
              </w:rPr>
            </w:pPr>
            <w:r>
              <w:rPr>
                <w:rFonts w:ascii="Carlito" w:hAnsi="Carlito"/>
                <w:sz w:val="14"/>
                <w:szCs w:val="14"/>
              </w:rPr>
              <w:t>R$ 4.500,00</w:t>
            </w:r>
          </w:p>
        </w:tc>
        <w:tc>
          <w:tcPr>
            <w:tcW w:w="1155" w:type="dxa"/>
            <w:tcBorders>
              <w:left w:val="single" w:sz="4" w:space="0" w:color="000001"/>
              <w:bottom w:val="single" w:sz="4" w:space="0" w:color="000001"/>
              <w:right w:val="single" w:sz="4" w:space="0" w:color="000001"/>
            </w:tcBorders>
            <w:vAlign w:val="center"/>
          </w:tcPr>
          <w:p>
            <w:pPr>
              <w:pStyle w:val="Normal"/>
              <w:widowControl w:val="false"/>
              <w:spacing w:lineRule="auto" w:line="276" w:before="0" w:after="120"/>
              <w:jc w:val="center"/>
              <w:rPr>
                <w:sz w:val="14"/>
                <w:szCs w:val="14"/>
              </w:rPr>
            </w:pPr>
            <w:r>
              <w:rPr>
                <w:rFonts w:ascii="Carlito" w:hAnsi="Carlito"/>
                <w:color w:val="000000"/>
                <w:sz w:val="14"/>
                <w:szCs w:val="14"/>
                <w:shd w:fill="auto" w:val="clear"/>
              </w:rPr>
              <w:fldChar w:fldCharType="begin"/>
            </w:r>
            <w:r>
              <w:rPr>
                <w:sz w:val="14"/>
                <w:shd w:fill="auto" w:val="clear"/>
                <w:szCs w:val="14"/>
                <w:rFonts w:ascii="Carlito" w:hAnsi="Carlito"/>
                <w:color w:val="000000"/>
              </w:rPr>
              <w:instrText xml:space="preserve"> =G3*F3</w:instrText>
            </w:r>
            <w:r>
              <w:rPr>
                <w:sz w:val="14"/>
                <w:shd w:fill="auto" w:val="clear"/>
                <w:szCs w:val="14"/>
                <w:rFonts w:ascii="Carlito" w:hAnsi="Carlito"/>
                <w:color w:val="000000"/>
              </w:rPr>
              <w:fldChar w:fldCharType="separate"/>
            </w:r>
            <w:r>
              <w:rPr>
                <w:sz w:val="14"/>
                <w:shd w:fill="auto" w:val="clear"/>
                <w:szCs w:val="14"/>
                <w:rFonts w:ascii="Carlito" w:hAnsi="Carlito"/>
                <w:color w:val="000000"/>
              </w:rPr>
              <w:t>4500</w:t>
            </w:r>
            <w:r>
              <w:rPr>
                <w:sz w:val="14"/>
                <w:shd w:fill="auto" w:val="clear"/>
                <w:szCs w:val="14"/>
                <w:rFonts w:ascii="Carlito" w:hAnsi="Carlito"/>
                <w:color w:val="000000"/>
              </w:rPr>
              <w:fldChar w:fldCharType="end"/>
            </w:r>
          </w:p>
        </w:tc>
        <w:tc>
          <w:tcPr>
            <w:tcW w:w="1080" w:type="dxa"/>
            <w:tcBorders>
              <w:left w:val="single" w:sz="4" w:space="0" w:color="000001"/>
              <w:bottom w:val="single" w:sz="4" w:space="0" w:color="000001"/>
              <w:right w:val="single" w:sz="4" w:space="0" w:color="000001"/>
            </w:tcBorders>
            <w:vAlign w:val="center"/>
          </w:tcPr>
          <w:p>
            <w:pPr>
              <w:pStyle w:val="Calibri"/>
              <w:widowControl w:val="false"/>
              <w:spacing w:before="57" w:after="57"/>
              <w:jc w:val="center"/>
              <w:rPr>
                <w:sz w:val="14"/>
                <w:szCs w:val="14"/>
              </w:rPr>
            </w:pPr>
            <w:r>
              <w:rPr>
                <w:rFonts w:eastAsia="Times New Roman" w:cs="Times New Roman" w:ascii="Carlito" w:hAnsi="Carlito"/>
                <w:color w:val="000000"/>
                <w:kern w:val="2"/>
                <w:sz w:val="14"/>
                <w:szCs w:val="14"/>
                <w:shd w:fill="FFFFFF" w:val="clear"/>
                <w:lang w:val="pt-BR" w:eastAsia="zh-CN" w:bidi="hi-IN"/>
              </w:rPr>
              <w:t>Batalhão de Operações Especiais de Fuzileiros Navais</w:t>
            </w:r>
          </w:p>
        </w:tc>
        <w:tc>
          <w:tcPr>
            <w:tcW w:w="1054" w:type="dxa"/>
            <w:tcBorders>
              <w:left w:val="single" w:sz="4" w:space="0" w:color="000001"/>
              <w:bottom w:val="single" w:sz="4" w:space="0" w:color="000001"/>
              <w:right w:val="single" w:sz="4" w:space="0" w:color="000001"/>
            </w:tcBorders>
            <w:vAlign w:val="center"/>
          </w:tcPr>
          <w:p>
            <w:pPr>
              <w:pStyle w:val="Normal"/>
              <w:widowControl w:val="false"/>
              <w:tabs>
                <w:tab w:val="clear" w:pos="709"/>
                <w:tab w:val="left" w:pos="729" w:leader="none"/>
              </w:tabs>
              <w:spacing w:lineRule="auto" w:line="276" w:before="0" w:after="120"/>
              <w:jc w:val="center"/>
              <w:rPr>
                <w:sz w:val="14"/>
                <w:szCs w:val="14"/>
              </w:rPr>
            </w:pPr>
            <w:r>
              <w:rPr>
                <w:rFonts w:ascii="Carlito" w:hAnsi="Carlito"/>
                <w:i w:val="false"/>
                <w:iCs w:val="false"/>
                <w:color w:val="000000"/>
                <w:sz w:val="14"/>
                <w:szCs w:val="14"/>
                <w:shd w:fill="FFFFFF" w:val="clear"/>
              </w:rPr>
              <w:t>15 DIAS</w:t>
            </w:r>
          </w:p>
        </w:tc>
      </w:tr>
      <w:tr>
        <w:trPr>
          <w:trHeight w:val="1166" w:hRule="atLeast"/>
        </w:trPr>
        <w:tc>
          <w:tcPr>
            <w:tcW w:w="731" w:type="dxa"/>
            <w:tcBorders>
              <w:left w:val="single" w:sz="4" w:space="0" w:color="000001"/>
              <w:bottom w:val="single" w:sz="4" w:space="0" w:color="000001"/>
              <w:right w:val="single" w:sz="4" w:space="0" w:color="000001"/>
            </w:tcBorders>
            <w:vAlign w:val="center"/>
          </w:tcPr>
          <w:p>
            <w:pPr>
              <w:pStyle w:val="Contedodatabela"/>
              <w:widowControl w:val="false"/>
              <w:jc w:val="center"/>
              <w:rPr>
                <w:sz w:val="14"/>
                <w:szCs w:val="14"/>
              </w:rPr>
            </w:pPr>
            <w:r>
              <w:rPr>
                <w:sz w:val="14"/>
                <w:szCs w:val="14"/>
              </w:rPr>
              <w:t>3</w:t>
            </w:r>
          </w:p>
        </w:tc>
        <w:tc>
          <w:tcPr>
            <w:tcW w:w="1945" w:type="dxa"/>
            <w:tcBorders>
              <w:left w:val="single" w:sz="4" w:space="0" w:color="000001"/>
              <w:bottom w:val="single" w:sz="4" w:space="0" w:color="000001"/>
              <w:right w:val="single" w:sz="4" w:space="0" w:color="000001"/>
            </w:tcBorders>
            <w:vAlign w:val="center"/>
          </w:tcPr>
          <w:p>
            <w:pPr>
              <w:pStyle w:val="Normal"/>
              <w:widowControl w:val="false"/>
              <w:bidi w:val="0"/>
              <w:jc w:val="center"/>
              <w:rPr>
                <w:sz w:val="14"/>
                <w:szCs w:val="14"/>
              </w:rPr>
            </w:pPr>
            <w:r>
              <w:rPr>
                <w:rFonts w:ascii="Carlito" w:hAnsi="Carlito"/>
                <w:b w:val="false"/>
                <w:i w:val="false"/>
                <w:strike w:val="false"/>
                <w:dstrike w:val="false"/>
                <w:outline w:val="false"/>
                <w:shadow w:val="false"/>
                <w:color w:val="000000"/>
                <w:sz w:val="14"/>
                <w:szCs w:val="14"/>
                <w:u w:val="none"/>
                <w:em w:val="none"/>
              </w:rPr>
              <w:t>LAVADORA DE ALTA PRESSÃO ZM BOMBAS LAVA RÁPIDO LR-14 DE 1 CV COM 320 PSI DE PRESSÃO 110 V 60HZ</w:t>
            </w:r>
          </w:p>
        </w:tc>
        <w:tc>
          <w:tcPr>
            <w:tcW w:w="894" w:type="dxa"/>
            <w:tcBorders>
              <w:left w:val="single" w:sz="4" w:space="0" w:color="000001"/>
              <w:bottom w:val="single" w:sz="4" w:space="0" w:color="000001"/>
              <w:right w:val="single" w:sz="4" w:space="0" w:color="000001"/>
            </w:tcBorders>
            <w:vAlign w:val="center"/>
          </w:tcPr>
          <w:p>
            <w:pPr>
              <w:pStyle w:val="Normal"/>
              <w:widowControl w:val="false"/>
              <w:bidi w:val="0"/>
              <w:jc w:val="center"/>
              <w:rPr>
                <w:sz w:val="14"/>
                <w:szCs w:val="14"/>
              </w:rPr>
            </w:pPr>
            <w:r>
              <w:rPr>
                <w:rFonts w:ascii="Carlito" w:hAnsi="Carlito"/>
                <w:b w:val="false"/>
                <w:i w:val="false"/>
                <w:strike w:val="false"/>
                <w:dstrike w:val="false"/>
                <w:outline w:val="false"/>
                <w:shadow w:val="false"/>
                <w:color w:val="000000"/>
                <w:sz w:val="14"/>
                <w:szCs w:val="14"/>
                <w:u w:val="none"/>
                <w:em w:val="none"/>
              </w:rPr>
              <w:t>14029</w:t>
            </w:r>
          </w:p>
        </w:tc>
        <w:tc>
          <w:tcPr>
            <w:tcW w:w="896" w:type="dxa"/>
            <w:tcBorders>
              <w:left w:val="single" w:sz="4" w:space="0" w:color="000001"/>
              <w:bottom w:val="single" w:sz="4" w:space="0" w:color="000001"/>
              <w:right w:val="single" w:sz="4" w:space="0" w:color="000001"/>
            </w:tcBorders>
            <w:vAlign w:val="center"/>
          </w:tcPr>
          <w:p>
            <w:pPr>
              <w:pStyle w:val="Normal"/>
              <w:widowControl w:val="false"/>
              <w:bidi w:val="0"/>
              <w:jc w:val="center"/>
              <w:rPr>
                <w:sz w:val="14"/>
                <w:szCs w:val="14"/>
              </w:rPr>
            </w:pPr>
            <w:r>
              <w:rPr>
                <w:rFonts w:ascii="Carlito" w:hAnsi="Carlito"/>
                <w:b w:val="false"/>
                <w:i w:val="false"/>
                <w:strike w:val="false"/>
                <w:dstrike w:val="false"/>
                <w:outline w:val="false"/>
                <w:shadow w:val="false"/>
                <w:color w:val="000000"/>
                <w:sz w:val="14"/>
                <w:szCs w:val="14"/>
                <w:u w:val="none"/>
                <w:em w:val="none"/>
              </w:rPr>
              <w:t>617849</w:t>
            </w:r>
          </w:p>
        </w:tc>
        <w:tc>
          <w:tcPr>
            <w:tcW w:w="1041" w:type="dxa"/>
            <w:tcBorders>
              <w:left w:val="single" w:sz="4" w:space="0" w:color="000001"/>
              <w:bottom w:val="single" w:sz="4" w:space="0" w:color="000001"/>
              <w:right w:val="single" w:sz="4" w:space="0" w:color="000001"/>
            </w:tcBorders>
            <w:vAlign w:val="center"/>
          </w:tcPr>
          <w:p>
            <w:pPr>
              <w:pStyle w:val="Contedodatabela"/>
              <w:widowControl w:val="false"/>
              <w:jc w:val="center"/>
              <w:rPr>
                <w:sz w:val="14"/>
                <w:szCs w:val="14"/>
              </w:rPr>
            </w:pPr>
            <w:r>
              <w:rPr>
                <w:rFonts w:ascii="Carlito" w:hAnsi="Carlito"/>
                <w:color w:val="000000"/>
                <w:sz w:val="14"/>
                <w:szCs w:val="14"/>
              </w:rPr>
              <w:t>UN</w:t>
            </w:r>
          </w:p>
        </w:tc>
        <w:tc>
          <w:tcPr>
            <w:tcW w:w="783" w:type="dxa"/>
            <w:tcBorders>
              <w:left w:val="single" w:sz="4" w:space="0" w:color="000001"/>
              <w:bottom w:val="single" w:sz="4" w:space="0" w:color="000001"/>
              <w:right w:val="single" w:sz="4" w:space="0" w:color="000001"/>
            </w:tcBorders>
            <w:vAlign w:val="center"/>
          </w:tcPr>
          <w:p>
            <w:pPr>
              <w:pStyle w:val="Contedodatabela"/>
              <w:widowControl w:val="false"/>
              <w:rPr>
                <w:sz w:val="14"/>
                <w:szCs w:val="14"/>
              </w:rPr>
            </w:pPr>
            <w:r>
              <w:rPr>
                <w:rFonts w:ascii="Carlito" w:hAnsi="Carlito"/>
                <w:color w:val="000000"/>
                <w:sz w:val="14"/>
                <w:szCs w:val="14"/>
              </w:rPr>
              <w:t>1</w:t>
            </w:r>
          </w:p>
        </w:tc>
        <w:tc>
          <w:tcPr>
            <w:tcW w:w="1125" w:type="dxa"/>
            <w:tcBorders>
              <w:left w:val="single" w:sz="4" w:space="0" w:color="000001"/>
              <w:bottom w:val="single" w:sz="4" w:space="0" w:color="000001"/>
              <w:right w:val="single" w:sz="4" w:space="0" w:color="000001"/>
            </w:tcBorders>
            <w:vAlign w:val="center"/>
          </w:tcPr>
          <w:p>
            <w:pPr>
              <w:pStyle w:val="Contedodatabela"/>
              <w:widowControl w:val="false"/>
              <w:rPr>
                <w:sz w:val="14"/>
                <w:szCs w:val="14"/>
              </w:rPr>
            </w:pPr>
            <w:r>
              <w:rPr>
                <w:rFonts w:ascii="Carlito" w:hAnsi="Carlito"/>
                <w:sz w:val="14"/>
                <w:szCs w:val="14"/>
              </w:rPr>
              <w:t>R$ 2.400,00</w:t>
            </w:r>
          </w:p>
        </w:tc>
        <w:tc>
          <w:tcPr>
            <w:tcW w:w="1155" w:type="dxa"/>
            <w:tcBorders>
              <w:left w:val="single" w:sz="4" w:space="0" w:color="000001"/>
              <w:bottom w:val="single" w:sz="4" w:space="0" w:color="000001"/>
              <w:right w:val="single" w:sz="4" w:space="0" w:color="000001"/>
            </w:tcBorders>
            <w:vAlign w:val="center"/>
          </w:tcPr>
          <w:p>
            <w:pPr>
              <w:pStyle w:val="Normal"/>
              <w:widowControl w:val="false"/>
              <w:spacing w:lineRule="auto" w:line="276" w:before="0" w:after="120"/>
              <w:jc w:val="center"/>
              <w:rPr>
                <w:sz w:val="14"/>
                <w:szCs w:val="14"/>
              </w:rPr>
            </w:pPr>
            <w:r>
              <w:rPr>
                <w:rFonts w:ascii="Carlito" w:hAnsi="Carlito"/>
                <w:color w:val="000000"/>
                <w:sz w:val="14"/>
                <w:szCs w:val="14"/>
                <w:shd w:fill="auto" w:val="clear"/>
              </w:rPr>
              <w:fldChar w:fldCharType="begin"/>
            </w:r>
            <w:r>
              <w:rPr>
                <w:sz w:val="14"/>
                <w:shd w:fill="auto" w:val="clear"/>
                <w:szCs w:val="14"/>
                <w:rFonts w:ascii="Carlito" w:hAnsi="Carlito"/>
                <w:color w:val="000000"/>
              </w:rPr>
              <w:instrText xml:space="preserve"> =G4*F4</w:instrText>
            </w:r>
            <w:r>
              <w:rPr>
                <w:sz w:val="14"/>
                <w:shd w:fill="auto" w:val="clear"/>
                <w:szCs w:val="14"/>
                <w:rFonts w:ascii="Carlito" w:hAnsi="Carlito"/>
                <w:color w:val="000000"/>
              </w:rPr>
              <w:fldChar w:fldCharType="separate"/>
            </w:r>
            <w:r>
              <w:rPr>
                <w:sz w:val="14"/>
                <w:shd w:fill="auto" w:val="clear"/>
                <w:szCs w:val="14"/>
                <w:rFonts w:ascii="Carlito" w:hAnsi="Carlito"/>
                <w:color w:val="000000"/>
              </w:rPr>
              <w:t>2400</w:t>
            </w:r>
            <w:r>
              <w:rPr>
                <w:sz w:val="14"/>
                <w:shd w:fill="auto" w:val="clear"/>
                <w:szCs w:val="14"/>
                <w:rFonts w:ascii="Carlito" w:hAnsi="Carlito"/>
                <w:color w:val="000000"/>
              </w:rPr>
              <w:fldChar w:fldCharType="end"/>
            </w:r>
          </w:p>
        </w:tc>
        <w:tc>
          <w:tcPr>
            <w:tcW w:w="1080" w:type="dxa"/>
            <w:tcBorders>
              <w:left w:val="single" w:sz="4" w:space="0" w:color="000001"/>
              <w:bottom w:val="single" w:sz="4" w:space="0" w:color="000001"/>
              <w:right w:val="single" w:sz="4" w:space="0" w:color="000001"/>
            </w:tcBorders>
            <w:vAlign w:val="center"/>
          </w:tcPr>
          <w:p>
            <w:pPr>
              <w:pStyle w:val="Calibri"/>
              <w:widowControl w:val="false"/>
              <w:spacing w:before="57" w:after="57"/>
              <w:jc w:val="center"/>
              <w:rPr>
                <w:sz w:val="14"/>
                <w:szCs w:val="14"/>
              </w:rPr>
            </w:pPr>
            <w:r>
              <w:rPr>
                <w:rFonts w:eastAsia="Times New Roman" w:cs="Times New Roman" w:ascii="Carlito" w:hAnsi="Carlito"/>
                <w:color w:val="000000"/>
                <w:kern w:val="2"/>
                <w:sz w:val="14"/>
                <w:szCs w:val="14"/>
                <w:shd w:fill="FFFFFF" w:val="clear"/>
                <w:lang w:val="pt-BR" w:eastAsia="zh-CN" w:bidi="hi-IN"/>
              </w:rPr>
              <w:t>Batalhão de Operações Especiais de Fuzileiros Navais</w:t>
            </w:r>
          </w:p>
        </w:tc>
        <w:tc>
          <w:tcPr>
            <w:tcW w:w="1054" w:type="dxa"/>
            <w:tcBorders>
              <w:left w:val="single" w:sz="4" w:space="0" w:color="000001"/>
              <w:bottom w:val="single" w:sz="4" w:space="0" w:color="000001"/>
              <w:right w:val="single" w:sz="4" w:space="0" w:color="000001"/>
            </w:tcBorders>
            <w:vAlign w:val="center"/>
          </w:tcPr>
          <w:p>
            <w:pPr>
              <w:pStyle w:val="Normal"/>
              <w:widowControl w:val="false"/>
              <w:tabs>
                <w:tab w:val="clear" w:pos="709"/>
                <w:tab w:val="left" w:pos="729" w:leader="none"/>
              </w:tabs>
              <w:spacing w:lineRule="auto" w:line="276" w:before="0" w:after="120"/>
              <w:jc w:val="center"/>
              <w:rPr>
                <w:sz w:val="14"/>
                <w:szCs w:val="14"/>
              </w:rPr>
            </w:pPr>
            <w:r>
              <w:rPr>
                <w:rFonts w:ascii="Carlito" w:hAnsi="Carlito"/>
                <w:i w:val="false"/>
                <w:iCs w:val="false"/>
                <w:color w:val="000000"/>
                <w:sz w:val="14"/>
                <w:szCs w:val="14"/>
                <w:shd w:fill="FFFFFF" w:val="clear"/>
              </w:rPr>
              <w:t>15 DIAS</w:t>
            </w:r>
          </w:p>
        </w:tc>
      </w:tr>
      <w:tr>
        <w:trPr>
          <w:trHeight w:val="1166" w:hRule="atLeast"/>
        </w:trPr>
        <w:tc>
          <w:tcPr>
            <w:tcW w:w="731" w:type="dxa"/>
            <w:tcBorders>
              <w:left w:val="single" w:sz="4" w:space="0" w:color="000001"/>
              <w:bottom w:val="single" w:sz="4" w:space="0" w:color="000001"/>
              <w:right w:val="single" w:sz="4" w:space="0" w:color="000001"/>
            </w:tcBorders>
            <w:vAlign w:val="center"/>
          </w:tcPr>
          <w:p>
            <w:pPr>
              <w:pStyle w:val="Contedodatabela"/>
              <w:widowControl w:val="false"/>
              <w:jc w:val="center"/>
              <w:rPr>
                <w:sz w:val="14"/>
                <w:szCs w:val="14"/>
              </w:rPr>
            </w:pPr>
            <w:r>
              <w:rPr>
                <w:sz w:val="14"/>
                <w:szCs w:val="14"/>
              </w:rPr>
              <w:t>4</w:t>
            </w:r>
          </w:p>
        </w:tc>
        <w:tc>
          <w:tcPr>
            <w:tcW w:w="1945" w:type="dxa"/>
            <w:tcBorders>
              <w:left w:val="single" w:sz="4" w:space="0" w:color="000001"/>
              <w:bottom w:val="single" w:sz="4" w:space="0" w:color="000001"/>
              <w:right w:val="single" w:sz="4" w:space="0" w:color="000001"/>
            </w:tcBorders>
            <w:vAlign w:val="center"/>
          </w:tcPr>
          <w:p>
            <w:pPr>
              <w:pStyle w:val="Normal"/>
              <w:widowControl w:val="false"/>
              <w:bidi w:val="0"/>
              <w:jc w:val="left"/>
              <w:rPr>
                <w:sz w:val="14"/>
                <w:szCs w:val="14"/>
              </w:rPr>
            </w:pPr>
            <w:r>
              <w:rPr>
                <w:rFonts w:ascii="Carlito" w:hAnsi="Carlito"/>
                <w:b w:val="false"/>
                <w:i w:val="false"/>
                <w:strike w:val="false"/>
                <w:dstrike w:val="false"/>
                <w:outline w:val="false"/>
                <w:shadow w:val="false"/>
                <w:color w:val="000000"/>
                <w:sz w:val="14"/>
                <w:szCs w:val="14"/>
                <w:u w:val="none"/>
                <w:em w:val="none"/>
              </w:rPr>
              <w:t>ROÇADEIRA HIDRÁULICA CENTRAL /LATERAL C/ TRANSMISSÃO CORREIA</w:t>
            </w:r>
          </w:p>
          <w:p>
            <w:pPr>
              <w:pStyle w:val="Normal"/>
              <w:widowControl w:val="false"/>
              <w:bidi w:val="0"/>
              <w:jc w:val="left"/>
              <w:rPr>
                <w:sz w:val="14"/>
                <w:szCs w:val="14"/>
              </w:rPr>
            </w:pPr>
            <w:r>
              <w:rPr>
                <w:rFonts w:ascii="Carlito" w:hAnsi="Carlito"/>
                <w:b w:val="false"/>
                <w:i w:val="false"/>
                <w:strike w:val="false"/>
                <w:dstrike w:val="false"/>
                <w:outline w:val="false"/>
                <w:shadow w:val="false"/>
                <w:sz w:val="14"/>
                <w:szCs w:val="14"/>
                <w:u w:val="none"/>
                <w:em w:val="none"/>
              </w:rPr>
              <w:t>1500 BALDAN</w:t>
            </w:r>
          </w:p>
          <w:p>
            <w:pPr>
              <w:pStyle w:val="Normal"/>
              <w:widowControl w:val="false"/>
              <w:jc w:val="center"/>
              <w:rPr>
                <w:rFonts w:ascii="Carlito" w:hAnsi="Carlito"/>
                <w:color w:val="000000"/>
                <w:sz w:val="14"/>
                <w:szCs w:val="14"/>
              </w:rPr>
            </w:pPr>
            <w:r>
              <w:rPr>
                <w:rFonts w:ascii="Carlito" w:hAnsi="Carlito"/>
                <w:color w:val="000000"/>
                <w:sz w:val="14"/>
                <w:szCs w:val="14"/>
              </w:rPr>
            </w:r>
          </w:p>
        </w:tc>
        <w:tc>
          <w:tcPr>
            <w:tcW w:w="894" w:type="dxa"/>
            <w:tcBorders>
              <w:left w:val="single" w:sz="4" w:space="0" w:color="000001"/>
              <w:bottom w:val="single" w:sz="4" w:space="0" w:color="000001"/>
              <w:right w:val="single" w:sz="4" w:space="0" w:color="000001"/>
            </w:tcBorders>
            <w:vAlign w:val="center"/>
          </w:tcPr>
          <w:p>
            <w:pPr>
              <w:pStyle w:val="Normal"/>
              <w:widowControl w:val="false"/>
              <w:bidi w:val="0"/>
              <w:jc w:val="center"/>
              <w:rPr>
                <w:sz w:val="14"/>
                <w:szCs w:val="14"/>
              </w:rPr>
            </w:pPr>
            <w:r>
              <w:rPr>
                <w:rFonts w:ascii="Carlito" w:hAnsi="Carlito"/>
                <w:b w:val="false"/>
                <w:i w:val="false"/>
                <w:strike w:val="false"/>
                <w:dstrike w:val="false"/>
                <w:outline w:val="false"/>
                <w:shadow w:val="false"/>
                <w:color w:val="000000"/>
                <w:sz w:val="14"/>
                <w:szCs w:val="14"/>
                <w:u w:val="none"/>
                <w:em w:val="none"/>
              </w:rPr>
              <w:t>11757</w:t>
            </w:r>
          </w:p>
        </w:tc>
        <w:tc>
          <w:tcPr>
            <w:tcW w:w="896" w:type="dxa"/>
            <w:tcBorders>
              <w:left w:val="single" w:sz="4" w:space="0" w:color="000001"/>
              <w:bottom w:val="single" w:sz="4" w:space="0" w:color="000001"/>
              <w:right w:val="single" w:sz="4" w:space="0" w:color="000001"/>
            </w:tcBorders>
            <w:vAlign w:val="center"/>
          </w:tcPr>
          <w:p>
            <w:pPr>
              <w:pStyle w:val="Normal"/>
              <w:widowControl w:val="false"/>
              <w:bidi w:val="0"/>
              <w:jc w:val="center"/>
              <w:rPr>
                <w:sz w:val="14"/>
                <w:szCs w:val="14"/>
              </w:rPr>
            </w:pPr>
            <w:r>
              <w:rPr>
                <w:rFonts w:ascii="Carlito" w:hAnsi="Carlito"/>
                <w:b w:val="false"/>
                <w:i w:val="false"/>
                <w:strike w:val="false"/>
                <w:dstrike w:val="false"/>
                <w:outline w:val="false"/>
                <w:shadow w:val="false"/>
                <w:color w:val="000000"/>
                <w:sz w:val="14"/>
                <w:szCs w:val="14"/>
                <w:u w:val="none"/>
                <w:em w:val="none"/>
              </w:rPr>
              <w:t>612625</w:t>
            </w:r>
          </w:p>
        </w:tc>
        <w:tc>
          <w:tcPr>
            <w:tcW w:w="1041" w:type="dxa"/>
            <w:tcBorders>
              <w:left w:val="single" w:sz="4" w:space="0" w:color="000001"/>
              <w:bottom w:val="single" w:sz="4" w:space="0" w:color="000001"/>
              <w:right w:val="single" w:sz="4" w:space="0" w:color="000001"/>
            </w:tcBorders>
            <w:vAlign w:val="center"/>
          </w:tcPr>
          <w:p>
            <w:pPr>
              <w:pStyle w:val="Contedodatabela"/>
              <w:widowControl w:val="false"/>
              <w:jc w:val="center"/>
              <w:rPr>
                <w:sz w:val="14"/>
                <w:szCs w:val="14"/>
              </w:rPr>
            </w:pPr>
            <w:r>
              <w:rPr>
                <w:rFonts w:ascii="Carlito" w:hAnsi="Carlito"/>
                <w:color w:val="000000"/>
                <w:sz w:val="14"/>
                <w:szCs w:val="14"/>
              </w:rPr>
              <w:t>UN</w:t>
            </w:r>
          </w:p>
        </w:tc>
        <w:tc>
          <w:tcPr>
            <w:tcW w:w="783" w:type="dxa"/>
            <w:tcBorders>
              <w:left w:val="single" w:sz="4" w:space="0" w:color="000001"/>
              <w:bottom w:val="single" w:sz="4" w:space="0" w:color="000001"/>
              <w:right w:val="single" w:sz="4" w:space="0" w:color="000001"/>
            </w:tcBorders>
            <w:vAlign w:val="center"/>
          </w:tcPr>
          <w:p>
            <w:pPr>
              <w:pStyle w:val="Contedodatabela"/>
              <w:widowControl w:val="false"/>
              <w:rPr>
                <w:sz w:val="14"/>
                <w:szCs w:val="14"/>
              </w:rPr>
            </w:pPr>
            <w:r>
              <w:rPr>
                <w:rFonts w:ascii="Carlito" w:hAnsi="Carlito"/>
                <w:color w:val="000000"/>
                <w:sz w:val="14"/>
                <w:szCs w:val="14"/>
              </w:rPr>
              <w:t>1</w:t>
            </w:r>
          </w:p>
        </w:tc>
        <w:tc>
          <w:tcPr>
            <w:tcW w:w="1125" w:type="dxa"/>
            <w:tcBorders>
              <w:left w:val="single" w:sz="4" w:space="0" w:color="000001"/>
              <w:bottom w:val="single" w:sz="4" w:space="0" w:color="000001"/>
              <w:right w:val="single" w:sz="4" w:space="0" w:color="000001"/>
            </w:tcBorders>
            <w:vAlign w:val="center"/>
          </w:tcPr>
          <w:p>
            <w:pPr>
              <w:pStyle w:val="Contedodatabela"/>
              <w:widowControl w:val="false"/>
              <w:rPr>
                <w:sz w:val="14"/>
                <w:szCs w:val="14"/>
              </w:rPr>
            </w:pPr>
            <w:r>
              <w:rPr>
                <w:rFonts w:ascii="Carlito" w:hAnsi="Carlito"/>
                <w:sz w:val="14"/>
                <w:szCs w:val="14"/>
              </w:rPr>
              <w:t>R$ 20.400,00</w:t>
            </w:r>
          </w:p>
        </w:tc>
        <w:tc>
          <w:tcPr>
            <w:tcW w:w="1155" w:type="dxa"/>
            <w:tcBorders>
              <w:left w:val="single" w:sz="4" w:space="0" w:color="000001"/>
              <w:bottom w:val="single" w:sz="4" w:space="0" w:color="000001"/>
              <w:right w:val="single" w:sz="4" w:space="0" w:color="000001"/>
            </w:tcBorders>
            <w:vAlign w:val="center"/>
          </w:tcPr>
          <w:p>
            <w:pPr>
              <w:pStyle w:val="Normal"/>
              <w:widowControl w:val="false"/>
              <w:spacing w:lineRule="auto" w:line="276" w:before="0" w:after="120"/>
              <w:jc w:val="center"/>
              <w:rPr>
                <w:sz w:val="14"/>
                <w:szCs w:val="14"/>
              </w:rPr>
            </w:pPr>
            <w:r>
              <w:rPr>
                <w:rFonts w:ascii="Carlito" w:hAnsi="Carlito"/>
                <w:color w:val="000000"/>
                <w:sz w:val="14"/>
                <w:szCs w:val="14"/>
                <w:shd w:fill="auto" w:val="clear"/>
              </w:rPr>
              <w:fldChar w:fldCharType="begin"/>
            </w:r>
            <w:r>
              <w:rPr>
                <w:sz w:val="14"/>
                <w:shd w:fill="auto" w:val="clear"/>
                <w:szCs w:val="14"/>
                <w:rFonts w:ascii="Carlito" w:hAnsi="Carlito"/>
                <w:color w:val="000000"/>
              </w:rPr>
              <w:instrText xml:space="preserve"> =G5*F5</w:instrText>
            </w:r>
            <w:r>
              <w:rPr>
                <w:sz w:val="14"/>
                <w:shd w:fill="auto" w:val="clear"/>
                <w:szCs w:val="14"/>
                <w:rFonts w:ascii="Carlito" w:hAnsi="Carlito"/>
                <w:color w:val="000000"/>
              </w:rPr>
              <w:fldChar w:fldCharType="separate"/>
            </w:r>
            <w:r>
              <w:rPr>
                <w:sz w:val="14"/>
                <w:shd w:fill="auto" w:val="clear"/>
                <w:szCs w:val="14"/>
                <w:rFonts w:ascii="Carlito" w:hAnsi="Carlito"/>
                <w:color w:val="000000"/>
              </w:rPr>
              <w:t>20400</w:t>
            </w:r>
            <w:r>
              <w:rPr>
                <w:sz w:val="14"/>
                <w:shd w:fill="auto" w:val="clear"/>
                <w:szCs w:val="14"/>
                <w:rFonts w:ascii="Carlito" w:hAnsi="Carlito"/>
                <w:color w:val="000000"/>
              </w:rPr>
              <w:fldChar w:fldCharType="end"/>
            </w:r>
          </w:p>
        </w:tc>
        <w:tc>
          <w:tcPr>
            <w:tcW w:w="1080" w:type="dxa"/>
            <w:tcBorders>
              <w:left w:val="single" w:sz="4" w:space="0" w:color="000001"/>
              <w:bottom w:val="single" w:sz="4" w:space="0" w:color="000001"/>
              <w:right w:val="single" w:sz="4" w:space="0" w:color="000001"/>
            </w:tcBorders>
            <w:vAlign w:val="center"/>
          </w:tcPr>
          <w:p>
            <w:pPr>
              <w:pStyle w:val="Calibri"/>
              <w:widowControl w:val="false"/>
              <w:spacing w:before="57" w:after="57"/>
              <w:jc w:val="center"/>
              <w:rPr>
                <w:sz w:val="14"/>
                <w:szCs w:val="14"/>
              </w:rPr>
            </w:pPr>
            <w:r>
              <w:rPr>
                <w:rFonts w:eastAsia="Times New Roman" w:cs="Times New Roman" w:ascii="Carlito" w:hAnsi="Carlito"/>
                <w:color w:val="000000"/>
                <w:kern w:val="2"/>
                <w:sz w:val="14"/>
                <w:szCs w:val="14"/>
                <w:shd w:fill="FFFFFF" w:val="clear"/>
                <w:lang w:val="pt-BR" w:eastAsia="zh-CN" w:bidi="hi-IN"/>
              </w:rPr>
              <w:t>Batalhão de Operações Especiais de Fuzileiros Navais</w:t>
            </w:r>
          </w:p>
        </w:tc>
        <w:tc>
          <w:tcPr>
            <w:tcW w:w="1054" w:type="dxa"/>
            <w:tcBorders>
              <w:left w:val="single" w:sz="4" w:space="0" w:color="000001"/>
              <w:bottom w:val="single" w:sz="4" w:space="0" w:color="000001"/>
              <w:right w:val="single" w:sz="4" w:space="0" w:color="000001"/>
            </w:tcBorders>
            <w:vAlign w:val="center"/>
          </w:tcPr>
          <w:p>
            <w:pPr>
              <w:pStyle w:val="Normal"/>
              <w:widowControl w:val="false"/>
              <w:tabs>
                <w:tab w:val="clear" w:pos="709"/>
                <w:tab w:val="left" w:pos="729" w:leader="none"/>
              </w:tabs>
              <w:spacing w:lineRule="auto" w:line="276" w:before="0" w:after="120"/>
              <w:jc w:val="center"/>
              <w:rPr>
                <w:sz w:val="14"/>
                <w:szCs w:val="14"/>
              </w:rPr>
            </w:pPr>
            <w:r>
              <w:rPr>
                <w:rFonts w:ascii="Carlito" w:hAnsi="Carlito"/>
                <w:i w:val="false"/>
                <w:iCs w:val="false"/>
                <w:color w:val="000000"/>
                <w:sz w:val="14"/>
                <w:szCs w:val="14"/>
                <w:shd w:fill="FFFFFF" w:val="clear"/>
              </w:rPr>
              <w:t>15 DIAS</w:t>
            </w:r>
          </w:p>
        </w:tc>
      </w:tr>
    </w:tbl>
    <w:p>
      <w:pPr>
        <w:pStyle w:val="Normal"/>
        <w:keepNext w:val="true"/>
        <w:keepLines w:val="false"/>
        <w:widowControl/>
        <w:spacing w:lineRule="auto" w:line="276" w:before="120" w:after="120"/>
        <w:jc w:val="left"/>
        <w:rPr>
          <w:rFonts w:ascii="Carlito" w:hAnsi="Carlito" w:eastAsia="Arial" w:cs="Arial"/>
          <w:b/>
          <w:b/>
          <w:bCs/>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bCs/>
          <w:i w:val="false"/>
          <w:iCs w:val="false"/>
          <w:caps w:val="false"/>
          <w:smallCaps w:val="false"/>
          <w:strike w:val="false"/>
          <w:dstrike w:val="false"/>
          <w:color w:val="000000"/>
          <w:position w:val="0"/>
          <w:sz w:val="24"/>
          <w:sz w:val="24"/>
          <w:szCs w:val="24"/>
          <w:u w:val="none"/>
          <w:shd w:fill="FFFFFF" w:val="clear"/>
          <w:vertAlign w:val="baseline"/>
        </w:rPr>
      </w:r>
    </w:p>
    <w:p>
      <w:pPr>
        <w:pStyle w:val="Calibri"/>
        <w:widowControl/>
        <w:numPr>
          <w:ilvl w:val="0"/>
          <w:numId w:val="1"/>
        </w:numPr>
        <w:spacing w:lineRule="auto" w:line="276" w:before="120" w:after="120"/>
        <w:jc w:val="left"/>
        <w:rPr>
          <w:sz w:val="20"/>
          <w:szCs w:val="20"/>
        </w:rPr>
      </w:pPr>
      <w:r>
        <w:rPr>
          <w:rFonts w:eastAsia="Arial" w:cs="Arial" w:ascii="Carlito" w:hAnsi="Carlito"/>
          <w:b/>
          <w:bCs/>
          <w:i w:val="false"/>
          <w:iCs w:val="false"/>
          <w:caps w:val="false"/>
          <w:smallCaps w:val="false"/>
          <w:strike w:val="false"/>
          <w:dstrike w:val="false"/>
          <w:color w:val="000000"/>
          <w:kern w:val="0"/>
          <w:position w:val="0"/>
          <w:sz w:val="20"/>
          <w:sz w:val="20"/>
          <w:szCs w:val="20"/>
          <w:u w:val="none"/>
          <w:shd w:fill="FFFFFF" w:val="clear"/>
          <w:vertAlign w:val="baseline"/>
          <w:lang w:val="pt-BR" w:eastAsia="zh-CN" w:bidi="hi-IN"/>
        </w:rPr>
        <w:t>AS TRATATIVAS  E DEMAIS DÚVIDAS, DEVERÃO SER SANADAS ATRAVÉS DO TELEFONE (21) 3405-8229 - SO FN IF JESSÉ COSTA ( PREFEITURA).</w:t>
      </w:r>
    </w:p>
    <w:p>
      <w:pPr>
        <w:pStyle w:val="Calibri"/>
        <w:widowControl/>
        <w:numPr>
          <w:ilvl w:val="0"/>
          <w:numId w:val="1"/>
        </w:numPr>
        <w:spacing w:lineRule="auto" w:line="276" w:before="120" w:after="120"/>
        <w:jc w:val="left"/>
        <w:rPr>
          <w:sz w:val="20"/>
          <w:szCs w:val="20"/>
        </w:rPr>
      </w:pPr>
      <w:r>
        <w:rPr>
          <w:rFonts w:eastAsia="Arial" w:cs="Arial" w:ascii="Carlito" w:hAnsi="Carlito"/>
          <w:b/>
          <w:bCs/>
          <w:i w:val="false"/>
          <w:iCs w:val="false"/>
          <w:caps w:val="false"/>
          <w:smallCaps w:val="false"/>
          <w:strike w:val="false"/>
          <w:dstrike w:val="false"/>
          <w:color w:val="000000"/>
          <w:kern w:val="0"/>
          <w:position w:val="0"/>
          <w:sz w:val="20"/>
          <w:sz w:val="20"/>
          <w:szCs w:val="20"/>
          <w:u w:val="none"/>
          <w:shd w:fill="FFFFFF" w:val="clear"/>
          <w:vertAlign w:val="baseline"/>
          <w:lang w:val="pt-BR" w:eastAsia="zh-CN" w:bidi="hi-IN"/>
        </w:rPr>
        <w:t xml:space="preserve">Quanto à especificidade do bem / serviço: </w:t>
      </w: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 xml:space="preserve"> EM VIRTUDE DA LEI 14133; </w:t>
      </w:r>
    </w:p>
    <w:p>
      <w:pPr>
        <w:pStyle w:val="Corpodotexto"/>
        <w:widowControl/>
        <w:numPr>
          <w:ilvl w:val="0"/>
          <w:numId w:val="0"/>
        </w:numPr>
        <w:spacing w:lineRule="auto" w:line="276" w:before="120" w:after="120"/>
        <w:ind w:left="360" w:hanging="0"/>
        <w:jc w:val="left"/>
        <w:rPr>
          <w:sz w:val="20"/>
          <w:szCs w:val="20"/>
        </w:rPr>
      </w:pP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Art. 41. No caso de licitação que envolva o fornecimento de bens, a Administração poderá excepcionalmente:</w:t>
      </w:r>
    </w:p>
    <w:p>
      <w:pPr>
        <w:pStyle w:val="Corpodotexto"/>
        <w:widowControl/>
        <w:numPr>
          <w:ilvl w:val="0"/>
          <w:numId w:val="0"/>
        </w:numPr>
        <w:spacing w:lineRule="auto" w:line="276" w:before="225" w:after="225"/>
        <w:ind w:left="0" w:right="0" w:hanging="0"/>
        <w:jc w:val="left"/>
        <w:rPr>
          <w:sz w:val="20"/>
          <w:szCs w:val="20"/>
        </w:rPr>
      </w:pP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 xml:space="preserve">         </w:t>
      </w: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I .  indicar uma ou mais marcas ou modelos, desde que formalmente justificado, nas seguintes hipóteses:</w:t>
      </w:r>
    </w:p>
    <w:p>
      <w:pPr>
        <w:pStyle w:val="Corpodotexto"/>
        <w:widowControl/>
        <w:numPr>
          <w:ilvl w:val="0"/>
          <w:numId w:val="0"/>
        </w:numPr>
        <w:spacing w:lineRule="auto" w:line="276" w:before="225" w:after="225"/>
        <w:ind w:left="0" w:right="0" w:hanging="0"/>
        <w:jc w:val="left"/>
        <w:rPr>
          <w:sz w:val="20"/>
          <w:szCs w:val="20"/>
        </w:rPr>
      </w:pP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 xml:space="preserve">          </w:t>
      </w: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a) em decorrência da necessidade de padronização do objeto;</w:t>
      </w:r>
    </w:p>
    <w:p>
      <w:pPr>
        <w:pStyle w:val="Normal"/>
        <w:widowControl/>
        <w:spacing w:lineRule="auto" w:line="276" w:before="120" w:after="120"/>
        <w:jc w:val="left"/>
        <w:rPr/>
      </w:pPr>
      <w:bookmarkStart w:id="0" w:name="art41ib"/>
      <w:bookmarkEnd w:id="0"/>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 xml:space="preserve">         </w:t>
      </w:r>
      <w:r>
        <w:rPr>
          <w:rFonts w:eastAsia="Times New Roman" w:cs="Times New Roman" w:ascii="Carlito" w:hAnsi="Carlito"/>
          <w:b/>
          <w:bCs/>
          <w:i w:val="false"/>
          <w:iCs w:val="false"/>
          <w:caps w:val="false"/>
          <w:smallCaps w:val="false"/>
          <w:strike w:val="false"/>
          <w:dstrike w:val="false"/>
          <w:color w:val="000000"/>
          <w:kern w:val="0"/>
          <w:position w:val="0"/>
          <w:sz w:val="20"/>
          <w:sz w:val="20"/>
          <w:szCs w:val="20"/>
          <w:u w:val="none"/>
          <w:shd w:fill="auto" w:val="clear"/>
          <w:vertAlign w:val="baseline"/>
          <w:lang w:val="pt-BR" w:eastAsia="zh-CN" w:bidi="hi-IN"/>
        </w:rPr>
        <w:t xml:space="preserve">b) em decorrência da necessidade de manter a compatibilidade com plataformas e padrões já adotados pela Administração;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b/>
      </w:r>
    </w:p>
    <w:p>
      <w:pPr>
        <w:pStyle w:val="Normal"/>
        <w:widowControl/>
        <w:numPr>
          <w:ilvl w:val="2"/>
          <w:numId w:val="3"/>
        </w:numPr>
        <w:spacing w:lineRule="auto" w:line="276" w:before="12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pacing w:lineRule="auto" w:line="276" w:before="12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w:hAnsi="Carlito"/>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spacing w:lineRule="auto" w:line="276" w:before="120" w:after="120"/>
        <w:ind w:left="1152"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Não poderão participar desta dispensa os fornecedores: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se enquadrem nas seguintes vedações:</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right="0" w:hanging="648"/>
        <w:jc w:val="both"/>
        <w:rPr/>
      </w:pPr>
      <w:r>
        <w:rPr>
          <w:rFonts w:ascii="Carlito" w:hAnsi="Carlito"/>
          <w:i w:val="false"/>
          <w:iCs w:val="false"/>
          <w:color w:val="000000"/>
          <w:sz w:val="24"/>
          <w:szCs w:val="24"/>
        </w:rPr>
        <w:t>empresas controladoras, controladas ou coligadas, nos termos da </w:t>
      </w:r>
      <w:hyperlink r:id="rId2">
        <w:r>
          <w:rPr>
            <w:rFonts w:ascii="Carlito" w:hAnsi="Carlito"/>
            <w:i w:val="false"/>
            <w:iCs w:val="false"/>
            <w:color w:val="000080"/>
            <w:sz w:val="24"/>
            <w:szCs w:val="24"/>
            <w:u w:val="single"/>
          </w:rPr>
          <w:t>Lei nº 6.404, de 15 de dezembro de 1976</w:t>
        </w:r>
      </w:hyperlink>
      <w:r>
        <w:rPr>
          <w:rFonts w:ascii="Carlito" w:hAnsi="Carlito"/>
          <w:i w:val="false"/>
          <w:iCs w:val="false"/>
          <w:color w:val="000000"/>
          <w:sz w:val="24"/>
          <w:szCs w:val="24"/>
        </w:rPr>
        <w:t>, concorrendo entre si;</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 e</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organizações da Sociedade Civil de Interesse Público - OSCIP, atuando nessa condição (Acórdão nº 746/2014-TCU-Plenário).</w:t>
      </w:r>
    </w:p>
    <w:p>
      <w:pPr>
        <w:pStyle w:val="Normal"/>
        <w:spacing w:lineRule="auto" w:line="276" w:before="120" w:after="120"/>
        <w:ind w:left="0"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Todas as especificações do </w:t>
      </w:r>
      <w:r>
        <w:rPr>
          <w:rFonts w:ascii="Carlito" w:hAnsi="Carlito"/>
          <w:i w:val="false"/>
          <w:iCs w:val="false"/>
          <w:color w:val="000000"/>
          <w:sz w:val="24"/>
          <w:szCs w:val="24"/>
        </w:rPr>
        <w:t>objeto</w:t>
      </w:r>
      <w:r>
        <w:rPr>
          <w:rFonts w:ascii="Carlito" w:hAnsi="Carlito"/>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A apresentação das propostas implica obrigatoriedade do cumprimento das disposições nelas contidas, em conformidade com o que dispõe o </w:t>
      </w:r>
      <w:r>
        <w:rPr>
          <w:rFonts w:ascii="Carlito" w:hAnsi="Carlito"/>
          <w:i w:val="false"/>
          <w:iCs w:val="false"/>
          <w:color w:val="000000"/>
          <w:sz w:val="24"/>
          <w:szCs w:val="24"/>
        </w:rPr>
        <w:t>Termo de Referência,</w:t>
      </w:r>
      <w:r>
        <w:rPr>
          <w:rFonts w:ascii="Carlito" w:hAnsi="Carlito"/>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Uma vez enviada a proposta no sistema, os fornecedores </w:t>
      </w:r>
      <w:r>
        <w:rPr>
          <w:rFonts w:ascii="Carlito" w:hAnsi="Carlito"/>
          <w:b/>
          <w:i w:val="false"/>
          <w:iCs w:val="false"/>
          <w:sz w:val="24"/>
          <w:szCs w:val="24"/>
        </w:rPr>
        <w:t>NÃO</w:t>
      </w:r>
      <w:r>
        <w:rPr>
          <w:rFonts w:ascii="Carlito" w:hAnsi="Carlito"/>
          <w:i w:val="false"/>
          <w:iCs w:val="false"/>
          <w:sz w:val="24"/>
          <w:szCs w:val="24"/>
        </w:rPr>
        <w:t xml:space="preserve"> poderão retirá-la, substituí-la ou modificá-la</w:t>
      </w:r>
      <w:r>
        <w:rPr>
          <w:rFonts w:ascii="Carlito" w:hAnsi="Carlito"/>
          <w:i w:val="false"/>
          <w:iCs w:val="false"/>
          <w:color w:val="000000"/>
          <w:sz w:val="24"/>
          <w:szCs w:val="24"/>
        </w:rPr>
        <w:t>;</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 xml:space="preserve">No cadastramento da proposta inicial, o fornecedor deverá, também, assinalar “sim” ou “não” em campo </w:t>
      </w:r>
      <w:r>
        <w:rPr>
          <w:rFonts w:ascii="Carlito" w:hAnsi="Carlito"/>
          <w:i w:val="false"/>
          <w:iCs w:val="false"/>
          <w:sz w:val="24"/>
          <w:szCs w:val="24"/>
        </w:rPr>
        <w:t>próprio</w:t>
      </w:r>
      <w:r>
        <w:rPr>
          <w:rFonts w:ascii="Carlito" w:hAnsi="Carlito"/>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spacing w:lineRule="auto" w:line="276" w:before="120" w:after="120"/>
        <w:ind w:left="360" w:right="0" w:hanging="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pacing w:lineRule="auto" w:line="276" w:before="0" w:after="0"/>
        <w:ind w:left="0"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keepNext w:val="true"/>
        <w:keepLines w:val="false"/>
        <w:widowControl/>
        <w:numPr>
          <w:ilvl w:val="1"/>
          <w:numId w:val="3"/>
        </w:numPr>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uppressAutoHyphens w:val="true"/>
        <w:overflowPunct w:val="true"/>
        <w:bidi w:val="0"/>
        <w:spacing w:lineRule="auto" w:line="276" w:before="0" w:after="0"/>
        <w:ind w:left="1247" w:right="0" w:hanging="510"/>
        <w:jc w:val="both"/>
        <w:textAlignment w:val="baseline"/>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keepNext w:val="true"/>
        <w:keepLines w:val="false"/>
        <w:widowControl/>
        <w:numPr>
          <w:ilvl w:val="1"/>
          <w:numId w:val="3"/>
        </w:numPr>
        <w:spacing w:lineRule="auto" w:line="276" w:before="120" w:after="0"/>
        <w:ind w:left="792" w:right="-15"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 houver indícios de inexequibilidade da proposta de preço, ou em caso da necessidade de esclarecimentos complementares, poderão ser efetuadas diligências, para que a empresa comprove a exequibilidade da proposta.</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pacing w:lineRule="auto" w:line="276" w:before="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pPr>
        <w:pStyle w:val="Normal"/>
        <w:keepNext w:val="true"/>
        <w:keepLines w:val="false"/>
        <w:widowControl/>
        <w:spacing w:lineRule="auto" w:line="276" w:before="0" w:after="0"/>
        <w:ind w:left="1134" w:right="0" w:hanging="0"/>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SICAF;</w:t>
      </w:r>
    </w:p>
    <w:p>
      <w:pPr>
        <w:pStyle w:val="Normal"/>
        <w:keepNext w:val="true"/>
        <w:keepLines w:val="false"/>
        <w:widowControl/>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w:t>
      </w:r>
    </w:p>
    <w:p>
      <w:pPr>
        <w:pStyle w:val="Normal"/>
        <w:keepNext w:val="true"/>
        <w:keepLines w:val="false"/>
        <w:widowControl/>
        <w:spacing w:lineRule="auto" w:line="276" w:before="0" w:after="0"/>
        <w:ind w:left="1134" w:right="0" w:hanging="0"/>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pacing w:lineRule="auto" w:line="276" w:before="12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pacing w:lineRule="auto" w:line="276" w:before="0" w:after="0"/>
        <w:ind w:left="1728" w:right="0" w:hanging="648"/>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pacing w:lineRule="auto" w:line="276" w:before="0" w:after="0"/>
        <w:ind w:left="2232" w:right="0" w:hanging="791"/>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pacing w:lineRule="auto" w:line="276" w:before="0" w:after="0"/>
        <w:ind w:left="2232" w:right="0" w:hanging="791"/>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pacing w:lineRule="auto" w:line="276" w:before="0" w:after="12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pacing w:lineRule="auto" w:line="276" w:before="0" w:after="12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w:hAnsi="Carlito"/>
          <w:i w:val="false"/>
          <w:iCs w:val="false"/>
          <w:color w:val="FF0000"/>
          <w:sz w:val="24"/>
          <w:szCs w:val="24"/>
        </w:rPr>
        <w:t xml:space="preserve"> </w:t>
      </w:r>
      <w:r>
        <w:rPr>
          <w:rFonts w:ascii="Carlito" w:hAnsi="Carlito"/>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 xml:space="preserve">O prazo previsto para assinatura do contrato ou aceitação da nota de empenho ou instrumento equivalente poderá ser prorrogado </w:t>
      </w:r>
      <w:r>
        <w:rPr>
          <w:rFonts w:ascii="Carlito" w:hAnsi="Carlito"/>
          <w:i w:val="false"/>
          <w:iCs w:val="false"/>
          <w:sz w:val="24"/>
          <w:szCs w:val="24"/>
        </w:rPr>
        <w:t xml:space="preserve">1 (uma) vez, </w:t>
      </w:r>
      <w:r>
        <w:rPr>
          <w:rFonts w:ascii="Carlito" w:hAnsi="Carlito"/>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dar causa à inexecução parcial do contrato</w:t>
      </w:r>
      <w:r>
        <w:rPr>
          <w:rFonts w:ascii="Carlito" w:hAnsi="Carlito"/>
          <w:i w:val="false"/>
          <w:iCs w:val="false"/>
          <w:sz w:val="24"/>
          <w:szCs w:val="24"/>
        </w:rPr>
        <w:t>;</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dar causa à inexecução total do contrato;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comportar-se de modo inidôneo ou cometer fraude de qualquer natureza;</w:t>
      </w:r>
    </w:p>
    <w:p>
      <w:pPr>
        <w:pStyle w:val="Normal"/>
        <w:keepNext w:val="true"/>
        <w:keepLines w:val="false"/>
        <w:widowControl/>
        <w:numPr>
          <w:ilvl w:val="3"/>
          <w:numId w:val="3"/>
        </w:numPr>
        <w:spacing w:lineRule="auto" w:line="276" w:before="120" w:after="120"/>
        <w:ind w:left="1728" w:right="0" w:hanging="648"/>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right="0" w:hanging="504"/>
        <w:jc w:val="both"/>
        <w:rPr/>
      </w:pPr>
      <w:r>
        <w:rPr>
          <w:rFonts w:ascii="Carlito" w:hAnsi="Carlito"/>
          <w:i w:val="false"/>
          <w:iCs w:val="false"/>
          <w:color w:val="000000"/>
          <w:sz w:val="24"/>
          <w:szCs w:val="24"/>
        </w:rPr>
        <w:t xml:space="preserve">praticar ato lesivo previsto no </w:t>
      </w:r>
      <w:r>
        <w:fldChar w:fldCharType="begin"/>
      </w:r>
      <w:r>
        <w:rPr>
          <w:sz w:val="24"/>
          <w:i w:val="false"/>
          <w:szCs w:val="24"/>
          <w:iCs w:val="false"/>
          <w:rFonts w:ascii="Carlito" w:hAnsi="Carlito"/>
          <w:color w:val="000000"/>
        </w:rPr>
        <w:instrText xml:space="preserve"> HYPERLINK "http://www.planalto.gov.br/ccivil_03/_Ato2011-2014/2013/Lei/L12846.htm" \l "art5"</w:instrText>
      </w:r>
      <w:r>
        <w:rPr>
          <w:sz w:val="24"/>
          <w:i w:val="false"/>
          <w:szCs w:val="24"/>
          <w:iCs w:val="false"/>
          <w:rFonts w:ascii="Carlito" w:hAnsi="Carlito"/>
          <w:color w:val="000000"/>
        </w:rPr>
        <w:fldChar w:fldCharType="separate"/>
      </w:r>
      <w:r>
        <w:rPr>
          <w:rFonts w:ascii="Carlito" w:hAnsi="Carlito"/>
          <w:i w:val="false"/>
          <w:iCs w:val="false"/>
          <w:color w:val="000000"/>
          <w:sz w:val="24"/>
          <w:szCs w:val="24"/>
        </w:rPr>
        <w:t>art. 5º da Lei nº 12.846, de 1º de agosto de 2013.</w:t>
      </w:r>
      <w:r>
        <w:rPr>
          <w:sz w:val="24"/>
          <w:i w:val="false"/>
          <w:szCs w:val="24"/>
          <w:iCs w:val="false"/>
          <w:rFonts w:ascii="Carlito" w:hAnsi="Carlito"/>
          <w:color w:val="000000"/>
        </w:rPr>
        <w:fldChar w:fldCharType="end"/>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Advertência pela falta do subitem 7.1.1 deste Aviso de Contratação Direta, quando não se justificar a imposição de penalidade mais grave;</w:t>
      </w:r>
    </w:p>
    <w:p>
      <w:pPr>
        <w:pStyle w:val="Normal"/>
        <w:numPr>
          <w:ilvl w:val="2"/>
          <w:numId w:val="2"/>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Multa de</w:t>
      </w:r>
      <w:r>
        <w:rPr>
          <w:rFonts w:ascii="Carlito" w:hAnsi="Carlito"/>
          <w:i w:val="false"/>
          <w:iCs w:val="false"/>
          <w:color w:val="000000"/>
          <w:sz w:val="24"/>
          <w:szCs w:val="24"/>
        </w:rPr>
        <w:t xml:space="preserve"> 3% (três por cento)</w:t>
      </w:r>
      <w:r>
        <w:rPr>
          <w:rFonts w:ascii="Carlito" w:hAnsi="Carlito"/>
          <w:i w:val="false"/>
          <w:iCs w:val="false"/>
          <w:color w:val="FF0000"/>
          <w:sz w:val="24"/>
          <w:szCs w:val="24"/>
        </w:rPr>
        <w:t xml:space="preserve"> </w:t>
      </w:r>
      <w:r>
        <w:rPr>
          <w:rFonts w:ascii="Carlito" w:hAnsi="Carlito"/>
          <w:i w:val="false"/>
          <w:iCs w:val="false"/>
          <w:sz w:val="24"/>
          <w:szCs w:val="24"/>
        </w:rPr>
        <w:t>sobre o valor estimado do(s) item(s) prejudicado(s) pela conduta do fornecedor, por qualquer das infrações dos subitens 7.1.1 a 7.1.12;</w:t>
      </w:r>
    </w:p>
    <w:p>
      <w:pPr>
        <w:pStyle w:val="Normal"/>
        <w:numPr>
          <w:ilvl w:val="2"/>
          <w:numId w:val="2"/>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Impedimento de licitar e contratar</w:t>
      </w:r>
      <w:r>
        <w:rPr>
          <w:rFonts w:ascii="Carlito" w:hAnsi="Carlito"/>
          <w:i w:val="false"/>
          <w:iCs w:val="false"/>
          <w:sz w:val="24"/>
          <w:szCs w:val="24"/>
        </w:rPr>
        <w:t xml:space="preserve"> </w:t>
      </w:r>
      <w:r>
        <w:rPr>
          <w:rFonts w:ascii="Carlito" w:hAnsi="Carlito"/>
          <w:i w:val="false"/>
          <w:iCs w:val="false"/>
          <w:color w:val="000000"/>
          <w:sz w:val="24"/>
          <w:szCs w:val="24"/>
        </w:rPr>
        <w:t>no âmbito da Administração Pública direta e indireta do ente federativo que tiver aplicado a sanção, pelo prazo máximo de 3 (três) anos, nos casos dos subitens 7.1.2 a 7.1.7 deste Aviso de Contratação Direta, quando não se justificar a imposição de penalidade mais grave</w:t>
      </w:r>
      <w:r>
        <w:rPr>
          <w:rFonts w:ascii="Carlito" w:hAnsi="Carlito"/>
          <w:i w:val="false"/>
          <w:iCs w:val="false"/>
          <w:sz w:val="24"/>
          <w:szCs w:val="24"/>
        </w:rPr>
        <w:t>;</w:t>
      </w:r>
    </w:p>
    <w:p>
      <w:pPr>
        <w:pStyle w:val="Normal"/>
        <w:numPr>
          <w:ilvl w:val="2"/>
          <w:numId w:val="2"/>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7.1.8 a 7.1.12, bem como nos demais casos que justifiquem a imposição da penalidade mais grave</w:t>
      </w:r>
      <w:r>
        <w:rPr>
          <w:rFonts w:ascii="Carlito" w:hAnsi="Carlito"/>
          <w:i w:val="false"/>
          <w:iCs w:val="false"/>
          <w:sz w:val="24"/>
          <w:szCs w:val="24"/>
        </w:rPr>
        <w:t>;</w:t>
      </w:r>
    </w:p>
    <w:p>
      <w:pPr>
        <w:pStyle w:val="Normal"/>
        <w:numPr>
          <w:ilvl w:val="1"/>
          <w:numId w:val="3"/>
        </w:numPr>
        <w:spacing w:lineRule="auto" w:line="276" w:before="120" w:after="120"/>
        <w:ind w:left="792" w:right="0" w:hanging="432"/>
        <w:jc w:val="both"/>
        <w:rPr>
          <w:rFonts w:ascii="Carlito" w:hAnsi="Carlito"/>
          <w:sz w:val="24"/>
          <w:szCs w:val="24"/>
        </w:rPr>
      </w:pPr>
      <w:r>
        <w:rPr>
          <w:rFonts w:ascii="Carlito" w:hAnsi="Carlito"/>
          <w:i w:val="false"/>
          <w:iCs w:val="false"/>
          <w:sz w:val="24"/>
          <w:szCs w:val="24"/>
        </w:rPr>
        <w:t>Na aplicação das sanções serão considerados: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a natureza e a gravidade da infração cometida;</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as peculiaridades do caso concreto;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as circunstâncias agravantes ou atenuantes;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os danos que dela provierem para a Administração Pública;</w:t>
      </w:r>
    </w:p>
    <w:p>
      <w:pPr>
        <w:pStyle w:val="Normal"/>
        <w:numPr>
          <w:ilvl w:val="2"/>
          <w:numId w:val="3"/>
        </w:numPr>
        <w:spacing w:lineRule="auto" w:line="276" w:before="120" w:after="120"/>
        <w:ind w:left="1224" w:right="0" w:hanging="504"/>
        <w:jc w:val="both"/>
        <w:rPr>
          <w:rFonts w:ascii="Carlito" w:hAnsi="Carlito"/>
          <w:sz w:val="24"/>
          <w:szCs w:val="24"/>
        </w:rPr>
      </w:pPr>
      <w:bookmarkStart w:id="1" w:name="3znysh7"/>
      <w:bookmarkStart w:id="2" w:name="1fob9te"/>
      <w:bookmarkStart w:id="3" w:name="30j0zll"/>
      <w:bookmarkEnd w:id="1"/>
      <w:bookmarkEnd w:id="2"/>
      <w:bookmarkEnd w:id="3"/>
      <w:r>
        <w:rPr>
          <w:rFonts w:ascii="Carlito" w:hAnsi="Carlito"/>
          <w:i w:val="false"/>
          <w:iCs w:val="false"/>
          <w:sz w:val="24"/>
          <w:szCs w:val="24"/>
        </w:rPr>
        <w:t xml:space="preserve"> </w:t>
      </w:r>
      <w:r>
        <w:rPr>
          <w:rFonts w:ascii="Carlito" w:hAnsi="Carlito"/>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right="0" w:hanging="0"/>
        <w:jc w:val="both"/>
        <w:rPr>
          <w:rFonts w:ascii="Carlito" w:hAnsi="Carlito"/>
          <w:sz w:val="24"/>
          <w:szCs w:val="24"/>
        </w:rPr>
      </w:pPr>
      <w:bookmarkStart w:id="4" w:name="2et92p0"/>
      <w:bookmarkEnd w:id="4"/>
      <w:r>
        <w:rPr>
          <w:rFonts w:ascii="Carlito" w:hAnsi="Carlito"/>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As sanções por atos praticados no decorrer da contratação estão previstas nos anexos a este Aviso.</w:t>
      </w:r>
    </w:p>
    <w:p>
      <w:pPr>
        <w:pStyle w:val="Normal"/>
        <w:spacing w:lineRule="auto" w:line="276" w:before="120" w:after="120"/>
        <w:ind w:left="425" w:right="0" w:hanging="0"/>
        <w:jc w:val="both"/>
        <w:rPr>
          <w:rFonts w:ascii="Carlito" w:hAnsi="Carlito"/>
          <w:sz w:val="24"/>
          <w:szCs w:val="24"/>
        </w:rPr>
      </w:pPr>
      <w:r>
        <w:rPr>
          <w:rFonts w:ascii="Carlito" w:hAnsi="Carlito"/>
          <w:sz w:val="24"/>
          <w:szCs w:val="24"/>
        </w:rPr>
      </w:r>
    </w:p>
    <w:p>
      <w:pPr>
        <w:pStyle w:val="Normal"/>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w:hAnsi="Carlito"/>
          <w:sz w:val="24"/>
          <w:szCs w:val="24"/>
        </w:rPr>
      </w:pPr>
      <w:r>
        <w:rPr>
          <w:rFonts w:cs="Arial" w:ascii="Carlito" w:hAnsi="Carlito"/>
          <w:b w:val="false"/>
          <w:bCs w:val="false"/>
          <w:i w:val="false"/>
          <w:iCs w:val="false"/>
          <w:color w:val="000000"/>
          <w:sz w:val="24"/>
          <w:szCs w:val="24"/>
          <w:shd w:fill="FFFFFF" w:val="clear"/>
        </w:rPr>
        <w:t>As despesas decorrentes da presente contratação correrão à conta de recursos específicos consignados no Orçamento Geral da União deste exercício, na dotação abaixo discriminada:</w:t>
      </w:r>
    </w:p>
    <w:p>
      <w:pPr>
        <w:pStyle w:val="Normal"/>
        <w:spacing w:lineRule="auto" w:line="276" w:before="120" w:after="120"/>
        <w:ind w:left="1494" w:right="0" w:hanging="0"/>
        <w:jc w:val="both"/>
        <w:rPr>
          <w:rFonts w:ascii="Carlito" w:hAnsi="Carlito"/>
          <w:sz w:val="24"/>
          <w:szCs w:val="24"/>
        </w:rPr>
      </w:pPr>
      <w:r>
        <w:rPr>
          <w:rFonts w:cs="Arial" w:ascii="Carlito" w:hAnsi="Carlito"/>
          <w:i w:val="false"/>
          <w:iCs w:val="false"/>
          <w:color w:val="000000"/>
          <w:sz w:val="24"/>
          <w:szCs w:val="24"/>
          <w:shd w:fill="auto" w:val="clear"/>
        </w:rPr>
        <w:t>Gestão/Unidade: 0001/795400</w:t>
      </w:r>
    </w:p>
    <w:p>
      <w:pPr>
        <w:pStyle w:val="Normal"/>
        <w:spacing w:lineRule="auto" w:line="276" w:before="120" w:after="120"/>
        <w:ind w:left="1494" w:right="0" w:hanging="0"/>
        <w:jc w:val="both"/>
        <w:rPr>
          <w:rFonts w:ascii="Carlito" w:hAnsi="Carlito"/>
          <w:sz w:val="24"/>
          <w:szCs w:val="24"/>
        </w:rPr>
      </w:pPr>
      <w:r>
        <w:rPr>
          <w:rFonts w:cs="Arial" w:ascii="Carlito" w:hAnsi="Carlito"/>
          <w:i w:val="false"/>
          <w:iCs w:val="false"/>
          <w:color w:val="000000"/>
          <w:sz w:val="24"/>
          <w:szCs w:val="24"/>
          <w:shd w:fill="auto" w:val="clear"/>
        </w:rPr>
        <w:t>Fonte: 3</w:t>
      </w:r>
      <w:r>
        <w:rPr>
          <w:rFonts w:eastAsia="Arial" w:cs="Arial" w:ascii="Carlito" w:hAnsi="Carlito"/>
          <w:i w:val="false"/>
          <w:iCs w:val="false"/>
          <w:color w:val="000000"/>
          <w:kern w:val="0"/>
          <w:sz w:val="24"/>
          <w:szCs w:val="24"/>
          <w:shd w:fill="auto" w:val="clear"/>
          <w:lang w:val="pt-BR" w:eastAsia="zh-CN" w:bidi="hi-IN"/>
        </w:rPr>
        <w:t xml:space="preserve">000000000 </w:t>
      </w:r>
    </w:p>
    <w:p>
      <w:pPr>
        <w:pStyle w:val="Normal"/>
        <w:spacing w:lineRule="auto" w:line="276" w:before="120" w:after="120"/>
        <w:ind w:left="1494" w:right="0" w:hanging="0"/>
        <w:jc w:val="both"/>
        <w:rPr>
          <w:rFonts w:ascii="Carlito" w:hAnsi="Carlito"/>
          <w:sz w:val="24"/>
          <w:szCs w:val="24"/>
        </w:rPr>
      </w:pPr>
      <w:r>
        <w:rPr>
          <w:rFonts w:cs="Arial" w:ascii="Carlito" w:hAnsi="Carlito"/>
          <w:i w:val="false"/>
          <w:iCs w:val="false"/>
          <w:color w:val="000000"/>
          <w:sz w:val="24"/>
          <w:szCs w:val="24"/>
          <w:shd w:fill="auto" w:val="clear"/>
        </w:rPr>
        <w:t>Program</w:t>
      </w:r>
      <w:r>
        <w:rPr>
          <w:rFonts w:eastAsia="Arial" w:cs="Arial" w:ascii="Carlito" w:hAnsi="Carlito"/>
          <w:i w:val="false"/>
          <w:iCs w:val="false"/>
          <w:color w:val="000000"/>
          <w:kern w:val="0"/>
          <w:sz w:val="24"/>
          <w:szCs w:val="24"/>
          <w:shd w:fill="auto" w:val="clear"/>
          <w:lang w:val="pt-BR" w:eastAsia="zh-CN" w:bidi="hi-IN"/>
        </w:rPr>
        <w:t>a de Traba</w:t>
      </w:r>
      <w:r>
        <w:rPr>
          <w:rFonts w:cs="Arial" w:ascii="Carlito" w:hAnsi="Carlito"/>
          <w:i w:val="false"/>
          <w:iCs w:val="false"/>
          <w:color w:val="000000"/>
          <w:sz w:val="24"/>
          <w:szCs w:val="24"/>
          <w:shd w:fill="auto" w:val="clear"/>
        </w:rPr>
        <w:t xml:space="preserve">lho: </w:t>
      </w:r>
      <w:bookmarkStart w:id="5" w:name="manterPage%25252525252525252525252525252"/>
      <w:bookmarkEnd w:id="5"/>
      <w:r>
        <w:rPr>
          <w:rFonts w:cs="Arial" w:ascii="Carlito" w:hAnsi="Carlito"/>
          <w:i w:val="false"/>
          <w:iCs w:val="false"/>
          <w:color w:val="000000"/>
          <w:sz w:val="24"/>
          <w:szCs w:val="24"/>
          <w:shd w:fill="auto" w:val="clear"/>
        </w:rPr>
        <w:t>228336</w:t>
      </w:r>
      <w:r>
        <w:rPr>
          <w:rFonts w:eastAsia="Arial" w:cs="Arial" w:ascii="Carlito" w:hAnsi="Carlito"/>
          <w:i w:val="false"/>
          <w:iCs w:val="false"/>
          <w:color w:val="000000"/>
          <w:kern w:val="0"/>
          <w:sz w:val="24"/>
          <w:szCs w:val="24"/>
          <w:lang w:val="pt-BR" w:eastAsia="zh-CN" w:bidi="hi-IN"/>
        </w:rPr>
        <w:t xml:space="preserve"> </w:t>
      </w:r>
    </w:p>
    <w:p>
      <w:pPr>
        <w:pStyle w:val="Normal"/>
        <w:spacing w:lineRule="auto" w:line="276" w:before="120" w:after="120"/>
        <w:ind w:left="1494" w:right="0" w:hanging="0"/>
        <w:jc w:val="both"/>
        <w:rPr>
          <w:rFonts w:ascii="Carlito" w:hAnsi="Carlito"/>
          <w:sz w:val="24"/>
          <w:szCs w:val="24"/>
        </w:rPr>
      </w:pPr>
      <w:r>
        <w:rPr>
          <w:rFonts w:cs="Arial" w:ascii="Carlito" w:hAnsi="Carlito"/>
          <w:i w:val="false"/>
          <w:iCs w:val="false"/>
          <w:color w:val="000000"/>
          <w:sz w:val="24"/>
          <w:szCs w:val="24"/>
          <w:shd w:fill="auto" w:val="clear"/>
        </w:rPr>
        <w:t xml:space="preserve">Elemento de Despesa: </w:t>
      </w:r>
      <w:r>
        <w:rPr>
          <w:rFonts w:eastAsia="Arial" w:cs="Arial" w:ascii="Carlito" w:hAnsi="Carlito"/>
          <w:i w:val="false"/>
          <w:iCs w:val="false"/>
          <w:color w:val="000000"/>
          <w:kern w:val="0"/>
          <w:sz w:val="24"/>
          <w:szCs w:val="24"/>
          <w:shd w:fill="auto" w:val="clear"/>
          <w:lang w:val="pt-BR" w:eastAsia="zh-CN" w:bidi="hi-IN"/>
        </w:rPr>
        <w:t>449052</w:t>
      </w:r>
    </w:p>
    <w:p>
      <w:pPr>
        <w:pStyle w:val="Normal"/>
        <w:spacing w:lineRule="auto" w:line="276" w:before="120" w:after="120"/>
        <w:ind w:left="1494" w:right="0" w:hanging="0"/>
        <w:jc w:val="both"/>
        <w:rPr>
          <w:color w:val="000000"/>
        </w:rPr>
      </w:pPr>
      <w:r>
        <w:rPr>
          <w:rFonts w:eastAsia="Arial" w:cs="Arial" w:ascii="Carlito" w:hAnsi="Carlito"/>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PI: X.488.DV.B.Z.9.RX</w:t>
      </w:r>
    </w:p>
    <w:p>
      <w:pPr>
        <w:pStyle w:val="Normal"/>
        <w:spacing w:lineRule="auto" w:line="276" w:before="120" w:after="120"/>
        <w:ind w:left="1494" w:right="0" w:hanging="0"/>
        <w:jc w:val="both"/>
        <w:rPr>
          <w:rFonts w:ascii="Carlito" w:hAnsi="Carlito"/>
          <w:sz w:val="24"/>
          <w:szCs w:val="24"/>
        </w:rPr>
      </w:pPr>
      <w:r>
        <w:rPr>
          <w:rFonts w:ascii="Carlito" w:hAnsi="Carlito"/>
          <w:sz w:val="24"/>
          <w:szCs w:val="24"/>
        </w:rPr>
      </w:r>
    </w:p>
    <w:p>
      <w:pPr>
        <w:pStyle w:val="Normal"/>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republicar o presente aviso com uma nova data;</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I</w:t>
      </w:r>
      <w:bookmarkStart w:id="6" w:name="__DdeLink__2313_3667253622"/>
      <w:r>
        <w:rPr>
          <w:rFonts w:ascii="Carlito" w:hAnsi="Carlito"/>
          <w:i w:val="false"/>
          <w:iCs w:val="false"/>
          <w:color w:val="000000"/>
          <w:sz w:val="24"/>
          <w:szCs w:val="24"/>
        </w:rPr>
        <w:t xml:space="preserve"> –</w:t>
      </w:r>
      <w:bookmarkEnd w:id="6"/>
      <w:r>
        <w:rPr>
          <w:rFonts w:ascii="Carlito" w:hAnsi="Carlito"/>
          <w:i w:val="false"/>
          <w:iCs w:val="false"/>
          <w:color w:val="000000"/>
          <w:sz w:val="24"/>
          <w:szCs w:val="24"/>
        </w:rPr>
        <w:t xml:space="preserve"> Formalização da demanda;</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 xml:space="preserve">ANEXO III – Termo de Referência; </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IV – Documentação exigida para Habilitação; e</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V – Mapa Comparativo de preços.</w:t>
      </w:r>
    </w:p>
    <w:p>
      <w:pPr>
        <w:pStyle w:val="Normal"/>
        <w:spacing w:lineRule="auto" w:line="276" w:before="120" w:after="12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before="0" w:after="120"/>
        <w:ind w:left="360" w:right="-15" w:hanging="0"/>
        <w:jc w:val="both"/>
        <w:rPr>
          <w:rFonts w:ascii="Carlito" w:hAnsi="Carlito"/>
          <w:sz w:val="24"/>
          <w:szCs w:val="24"/>
        </w:rPr>
      </w:pPr>
      <w:r>
        <w:rPr>
          <w:rFonts w:ascii="Carlito" w:hAnsi="Carlito"/>
          <w:i w:val="false"/>
          <w:iCs w:val="false"/>
          <w:color w:val="000000"/>
          <w:sz w:val="24"/>
          <w:szCs w:val="24"/>
        </w:rPr>
        <w:t>Rio de Janeiro,       de                    de 2024</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Calibri"/>
        <w:rPr>
          <w:rFonts w:ascii="Carlito" w:hAnsi="Carlito"/>
          <w:sz w:val="24"/>
          <w:szCs w:val="24"/>
        </w:rPr>
      </w:pPr>
      <w:r>
        <w:rPr>
          <w:rFonts w:ascii="Carlito" w:hAnsi="Carlito"/>
          <w:sz w:val="24"/>
          <w:szCs w:val="24"/>
        </w:rPr>
        <w:t>_____________________________________</w:t>
      </w:r>
    </w:p>
    <w:p>
      <w:pPr>
        <w:pStyle w:val="Normal"/>
        <w:bidi w:val="0"/>
        <w:jc w:val="center"/>
        <w:rPr>
          <w:rFonts w:ascii="Carlito" w:hAnsi="Carlito" w:eastAsia="Times New Roman" w:cs="Arial"/>
          <w:b/>
          <w:b/>
          <w:bCs/>
          <w:iCs/>
          <w:color w:val="000000"/>
          <w:sz w:val="24"/>
          <w:szCs w:val="24"/>
          <w:shd w:fill="auto" w:val="clear"/>
        </w:rPr>
      </w:pPr>
      <w:r>
        <w:rPr>
          <w:rFonts w:eastAsia="Times New Roman" w:cs="Arial" w:ascii="Carlito" w:hAnsi="Carlito"/>
          <w:b w:val="false"/>
          <w:bCs w:val="false"/>
          <w:i w:val="false"/>
          <w:iCs/>
          <w:strike w:val="false"/>
          <w:dstrike w:val="false"/>
          <w:outline w:val="false"/>
          <w:shadow w:val="false"/>
          <w:color w:val="000000"/>
          <w:sz w:val="24"/>
          <w:szCs w:val="24"/>
          <w:u w:val="none"/>
          <w:shd w:fill="auto" w:val="clear"/>
          <w:em w:val="none"/>
        </w:rPr>
        <w:t xml:space="preserve">HUGO MARCIO LIMA </w:t>
      </w:r>
      <w:r>
        <w:rPr>
          <w:rFonts w:eastAsia="Times New Roman" w:cs="Arial" w:ascii="Carlito" w:hAnsi="Carlito"/>
          <w:b/>
          <w:bCs/>
          <w:i w:val="false"/>
          <w:iCs/>
          <w:strike w:val="false"/>
          <w:dstrike w:val="false"/>
          <w:outline w:val="false"/>
          <w:shadow w:val="false"/>
          <w:color w:val="000000"/>
          <w:sz w:val="24"/>
          <w:szCs w:val="24"/>
          <w:u w:val="none"/>
          <w:shd w:fill="auto" w:val="clear"/>
          <w:em w:val="none"/>
        </w:rPr>
        <w:t>GODINHO</w:t>
      </w:r>
    </w:p>
    <w:p>
      <w:pPr>
        <w:pStyle w:val="Calibri"/>
        <w:bidi w:val="0"/>
        <w:jc w:val="center"/>
        <w:rPr>
          <w:rFonts w:ascii="Carlito" w:hAnsi="Carlito"/>
          <w:color w:val="000000"/>
          <w:sz w:val="24"/>
          <w:szCs w:val="24"/>
        </w:rPr>
      </w:pPr>
      <w:r>
        <w:rPr>
          <w:rFonts w:ascii="Carlito" w:hAnsi="Carlito"/>
          <w:b w:val="false"/>
          <w:bCs w:val="false"/>
          <w:i w:val="false"/>
          <w:strike w:val="false"/>
          <w:dstrike w:val="false"/>
          <w:outline w:val="false"/>
          <w:shadow w:val="false"/>
          <w:color w:val="000000"/>
          <w:sz w:val="24"/>
          <w:szCs w:val="24"/>
          <w:u w:val="none"/>
          <w:em w:val="none"/>
        </w:rPr>
        <w:t>CF (FN)</w:t>
      </w:r>
    </w:p>
    <w:p>
      <w:pPr>
        <w:pStyle w:val="Calibri"/>
        <w:bidi w:val="0"/>
        <w:jc w:val="center"/>
        <w:rPr>
          <w:sz w:val="20"/>
          <w:szCs w:val="20"/>
        </w:rPr>
      </w:pPr>
      <w:r>
        <w:rPr>
          <w:rFonts w:eastAsia="Times New Roman" w:cs="Arial" w:ascii="Carlito" w:hAnsi="Carlito"/>
          <w:b w:val="false"/>
          <w:bCs w:val="false"/>
          <w:i w:val="false"/>
          <w:iCs/>
          <w:strike w:val="false"/>
          <w:dstrike w:val="false"/>
          <w:outline w:val="false"/>
          <w:shadow w:val="false"/>
          <w:color w:val="000000"/>
          <w:sz w:val="20"/>
          <w:szCs w:val="20"/>
          <w:u w:val="none"/>
          <w:shd w:fill="auto" w:val="clear"/>
          <w:em w:val="none"/>
        </w:rPr>
        <w:t>Ordenador de Despesas Substituto</w:t>
      </w:r>
    </w:p>
    <w:p>
      <w:pPr>
        <w:pStyle w:val="Normal"/>
        <w:widowControl w:val="false"/>
        <w:suppressAutoHyphens w:val="true"/>
        <w:overflowPunct w:val="true"/>
        <w:bidi w:val="0"/>
        <w:spacing w:before="0" w:after="0"/>
        <w:ind w:left="-567" w:right="-567" w:hanging="0"/>
        <w:jc w:val="both"/>
        <w:textAlignment w:val="baseline"/>
        <w:rPr>
          <w:rFonts w:ascii="Carlito" w:hAnsi="Carlito"/>
          <w:b/>
          <w:b/>
          <w:i w:val="false"/>
          <w:i w:val="false"/>
          <w:iCs w:val="false"/>
          <w:sz w:val="24"/>
          <w:szCs w:val="24"/>
        </w:rPr>
      </w:pPr>
      <w:r>
        <w:rPr>
          <w:rFonts w:ascii="Carlito" w:hAnsi="Carlito"/>
          <w:b/>
          <w:i w:val="false"/>
          <w:iCs w:val="false"/>
          <w:sz w:val="24"/>
          <w:szCs w:val="24"/>
        </w:rPr>
      </w:r>
    </w:p>
    <w:p>
      <w:pPr>
        <w:pStyle w:val="Normal"/>
        <w:jc w:val="both"/>
        <w:rPr>
          <w:sz w:val="20"/>
          <w:szCs w:val="20"/>
        </w:rPr>
      </w:pPr>
      <w:r>
        <w:rPr>
          <w:rFonts w:ascii="Carlito" w:hAnsi="Carlito"/>
          <w:b/>
          <w:i w:val="false"/>
          <w:iCs w:val="false"/>
          <w:sz w:val="20"/>
          <w:szCs w:val="20"/>
        </w:rPr>
        <w:t>ANEXO IV – DOCUMENTAÇÃO EXIGIDA PARA HABILITAÇÃO</w:t>
      </w:r>
    </w:p>
    <w:p>
      <w:pPr>
        <w:pStyle w:val="Normal"/>
        <w:jc w:val="both"/>
        <w:rPr>
          <w:rFonts w:ascii="Carlito" w:hAnsi="Carlito"/>
          <w:i w:val="false"/>
          <w:i w:val="false"/>
          <w:iCs w:val="false"/>
          <w:sz w:val="20"/>
          <w:szCs w:val="20"/>
        </w:rPr>
      </w:pPr>
      <w:r>
        <w:rPr>
          <w:rFonts w:ascii="Carlito" w:hAnsi="Carlito"/>
          <w:i w:val="false"/>
          <w:iCs w:val="false"/>
          <w:sz w:val="20"/>
          <w:szCs w:val="20"/>
        </w:rPr>
      </w:r>
    </w:p>
    <w:p>
      <w:pPr>
        <w:pStyle w:val="Normal"/>
        <w:keepNext w:val="true"/>
        <w:keepLines w:val="false"/>
        <w:widowControl/>
        <w:numPr>
          <w:ilvl w:val="0"/>
          <w:numId w:val="4"/>
        </w:numPr>
        <w:shd w:val="clear" w:fill="FFFFFF"/>
        <w:spacing w:lineRule="auto" w:line="276" w:before="120" w:after="120"/>
        <w:ind w:left="360" w:right="0" w:hanging="360"/>
        <w:jc w:val="both"/>
        <w:rPr>
          <w:sz w:val="20"/>
          <w:szCs w:val="20"/>
        </w:rPr>
      </w:pPr>
      <w:r>
        <w:rPr>
          <w:rFonts w:eastAsia="Arial" w:cs="Arial" w:ascii="Carlito" w:hAnsi="Carlito"/>
          <w:b/>
          <w:i w:val="false"/>
          <w:iCs w:val="false"/>
          <w:caps w:val="false"/>
          <w:smallCaps w:val="false"/>
          <w:strike w:val="false"/>
          <w:dstrike w:val="false"/>
          <w:color w:val="000000"/>
          <w:position w:val="0"/>
          <w:sz w:val="20"/>
          <w:sz w:val="20"/>
          <w:szCs w:val="20"/>
          <w:u w:val="none"/>
          <w:shd w:fill="FFFFFF" w:val="clear"/>
          <w:vertAlign w:val="baseline"/>
        </w:rPr>
        <w:t xml:space="preserve"> </w:t>
      </w:r>
      <w:r>
        <w:rPr>
          <w:rFonts w:eastAsia="Arial" w:cs="Arial" w:ascii="Carlito" w:hAnsi="Carlito"/>
          <w:b/>
          <w:i w:val="false"/>
          <w:iCs w:val="false"/>
          <w:caps w:val="false"/>
          <w:smallCaps w:val="false"/>
          <w:strike w:val="false"/>
          <w:dstrike w:val="false"/>
          <w:color w:val="000000"/>
          <w:position w:val="0"/>
          <w:sz w:val="20"/>
          <w:sz w:val="20"/>
          <w:szCs w:val="20"/>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right="0" w:hanging="360"/>
        <w:jc w:val="both"/>
        <w:rPr>
          <w:sz w:val="20"/>
          <w:szCs w:val="20"/>
        </w:rPr>
      </w:pPr>
      <w:r>
        <w:rPr>
          <w:rFonts w:ascii="Carlito" w:hAnsi="Carlito"/>
          <w:i w:val="false"/>
          <w:iCs w:val="false"/>
          <w:sz w:val="20"/>
          <w:szCs w:val="20"/>
        </w:rPr>
        <w:t xml:space="preserve"> </w:t>
      </w:r>
      <w:r>
        <w:rPr>
          <w:rFonts w:ascii="Carlito" w:hAnsi="Carlito"/>
          <w:i w:val="false"/>
          <w:iCs w:val="false"/>
          <w:sz w:val="20"/>
          <w:szCs w:val="20"/>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right="0" w:hanging="360"/>
        <w:jc w:val="both"/>
        <w:rPr>
          <w:sz w:val="20"/>
          <w:szCs w:val="20"/>
        </w:rPr>
      </w:pPr>
      <w:r>
        <w:rPr>
          <w:rFonts w:ascii="Carlito" w:hAnsi="Carlito"/>
          <w:i w:val="false"/>
          <w:iCs w:val="false"/>
          <w:sz w:val="20"/>
          <w:szCs w:val="20"/>
        </w:rPr>
        <w:t xml:space="preserve"> </w:t>
      </w:r>
      <w:r>
        <w:rPr>
          <w:rFonts w:ascii="Carlito" w:hAnsi="Carlito"/>
          <w:i w:val="false"/>
          <w:iCs w:val="false"/>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right="0" w:hanging="360"/>
        <w:jc w:val="both"/>
        <w:rPr>
          <w:sz w:val="20"/>
          <w:szCs w:val="20"/>
        </w:rPr>
      </w:pPr>
      <w:r>
        <w:rPr>
          <w:rFonts w:ascii="Carlito" w:hAnsi="Carlito"/>
          <w:i w:val="false"/>
          <w:iCs w:val="false"/>
          <w:color w:val="000000"/>
          <w:sz w:val="20"/>
          <w:szCs w:val="20"/>
        </w:rPr>
        <w:t xml:space="preserve"> </w:t>
      </w:r>
      <w:r>
        <w:rPr>
          <w:rFonts w:ascii="Carlito" w:hAnsi="Carlito"/>
          <w:i w:val="false"/>
          <w:iCs w:val="false"/>
          <w:color w:val="000000"/>
          <w:sz w:val="20"/>
          <w:szCs w:val="20"/>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right="0" w:hanging="360"/>
        <w:jc w:val="both"/>
        <w:rPr>
          <w:sz w:val="20"/>
          <w:szCs w:val="20"/>
        </w:rPr>
      </w:pPr>
      <w:r>
        <w:rPr>
          <w:rFonts w:ascii="Carlito" w:hAnsi="Carlito"/>
          <w:i w:val="false"/>
          <w:iCs w:val="false"/>
          <w:sz w:val="20"/>
          <w:szCs w:val="20"/>
        </w:rPr>
        <w:t xml:space="preserve"> </w:t>
      </w:r>
      <w:r>
        <w:rPr>
          <w:rFonts w:ascii="Carlito" w:hAnsi="Carlito"/>
          <w:i w:val="false"/>
          <w:iCs w:val="false"/>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u w:val="none"/>
        <w:shd w:fill="FFFFFF" w:val="clear"/>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u w:val="none"/>
        <w:shd w:fill="FFFFFF" w:val="clear"/>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u w:val="none"/>
        <w:shd w:fill="FFFFFF" w:val="clear"/>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rFonts w:ascii="Carlito" w:hAnsi="Carlito"/>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ascii="Carlito" w:hAnsi="Carlito" w:eastAsia="Arial" w:cs="Arial"/>
      </w:rPr>
    </w:lvl>
    <w:lvl w:ilvl="1">
      <w:start w:val="1"/>
      <w:numFmt w:val="decimal"/>
      <w:lvlText w:val="%1.%2"/>
      <w:lvlJc w:val="left"/>
      <w:pPr>
        <w:tabs>
          <w:tab w:val="num" w:pos="0"/>
        </w:tabs>
        <w:ind w:left="792" w:hanging="432"/>
      </w:pPr>
      <w:rPr>
        <w:sz w:val="24"/>
        <w:i w:val="false"/>
        <w:b/>
        <w:bCs/>
        <w:rFonts w:ascii="Carlito" w:hAnsi="Carlito" w:eastAsia="Arial" w:cs="Arial"/>
      </w:rPr>
    </w:lvl>
    <w:lvl w:ilvl="2">
      <w:start w:val="1"/>
      <w:numFmt w:val="decimal"/>
      <w:lvlText w:val="%1.%2.%3"/>
      <w:lvlJc w:val="left"/>
      <w:pPr>
        <w:tabs>
          <w:tab w:val="num" w:pos="0"/>
        </w:tabs>
        <w:ind w:left="1224" w:hanging="504"/>
      </w:pPr>
      <w:rPr>
        <w:sz w:val="24"/>
        <w:i w:val="false"/>
        <w:b/>
        <w:rFonts w:ascii="Carlito" w:hAnsi="Carlito"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ascii="Carlito" w:hAnsi="Carlito"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rPr>
      <w:color w:val="000080"/>
      <w:u w:val="single"/>
    </w:rPr>
  </w:style>
  <w:style w:type="character" w:styleId="Strong">
    <w:name w:val="Strong"/>
    <w:qFormat/>
    <w:rPr>
      <w:b/>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lang w:eastAsia="en-US"/>
    </w:rPr>
  </w:style>
  <w:style w:type="character" w:styleId="Nivel2Char">
    <w:name w:val="Nivel 2 Char"/>
    <w:qFormat/>
    <w:rPr>
      <w:rFonts w:ascii="Ecofont_Spranq_eco_Sans" w:hAnsi="Ecofont_Spranq_eco_Sans" w:eastAsia="Arial Unicode MS"/>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lang w:val="pt-BR" w:eastAsia="en-US"/>
    </w:rPr>
  </w:style>
  <w:style w:type="character" w:styleId="Citao2Char">
    <w:name w:val="citação 2 Char"/>
    <w:qFormat/>
    <w:rPr>
      <w:rFonts w:ascii="Ecofont_Spranq_eco_Sans" w:hAnsi="Ecofont_Spranq_eco_Sans" w:eastAsia="Tahoma"/>
      <w:i/>
      <w:iCs/>
      <w:color w:val="000000"/>
      <w:lang w:eastAsia="en-US"/>
    </w:rPr>
  </w:style>
  <w:style w:type="character" w:styleId="CitaoChar">
    <w:name w:val="Citação Char"/>
    <w:qFormat/>
    <w:rPr>
      <w:rFonts w:ascii="Ecofont_Spranq_eco_Sans" w:hAnsi="Ecofont_Spranq_eco_Sans" w:eastAsia="Tahoma"/>
      <w:i/>
      <w:iCs/>
      <w:color w:val="000000"/>
      <w:szCs w:val="24"/>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character" w:styleId="Marcadores">
    <w:name w:val="Marcadores"/>
    <w:qFormat/>
    <w:rPr>
      <w:rFonts w:ascii="OpenSymbol" w:hAnsi="OpenSymbol" w:eastAsia="OpenSymbol" w:cs="OpenSymbol"/>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00" w:val="clear"/>
      <w:lang w:eastAsia="ar-SA"/>
    </w:rPr>
  </w:style>
  <w:style w:type="paragraph" w:styleId="Nivel5">
    <w:name w:val="Nivel 5"/>
    <w:qFormat/>
    <w:pPr>
      <w:widowControl/>
      <w:tabs>
        <w:tab w:val="clear" w:pos="709"/>
        <w:tab w:val="left" w:pos="360" w:leader="none"/>
      </w:tabs>
      <w:suppressAutoHyphens w:val="true"/>
      <w:overflowPunct w:val="false"/>
      <w:bidi w:val="0"/>
      <w:spacing w:lineRule="auto" w:line="276" w:before="120" w:after="120"/>
      <w:ind w:left="3485"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false"/>
      <w:bidi w:val="0"/>
      <w:spacing w:lineRule="auto" w:line="276" w:before="120" w:after="120"/>
      <w:ind w:left="2491"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false"/>
      <w:bidi w:val="0"/>
      <w:spacing w:lineRule="auto" w:line="276" w:before="120" w:after="120"/>
      <w:ind w:left="1922" w:right="0"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false"/>
      <w:bidi w:val="0"/>
      <w:spacing w:lineRule="auto" w:line="276" w:before="120" w:after="120"/>
      <w:ind w:left="644" w:right="0"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right="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val="clear"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280" w:after="280"/>
    </w:pPr>
    <w:rPr>
      <w:rFonts w:ascii="Times New Roman" w:hAnsi="Times New Roman" w:eastAsia="Times New Roman"/>
      <w:lang w:eastAsia="ar-SA"/>
    </w:rPr>
  </w:style>
  <w:style w:type="paragraph" w:styleId="ListParagraph">
    <w:name w:val="List Paragraph"/>
    <w:basedOn w:val="Normal"/>
    <w:qFormat/>
    <w:pPr>
      <w:spacing w:before="0" w:after="0"/>
      <w:ind w:left="720" w:right="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2060</TotalTime>
  <Application>LibreOffice/7.3.7.2$Linux_X86_64 LibreOffice_project/30$Build-2</Application>
  <AppVersion>15.0000</AppVersion>
  <Pages>14</Pages>
  <Words>4789</Words>
  <Characters>27432</Characters>
  <CharactersWithSpaces>32002</CharactersWithSpaces>
  <Paragraphs>258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2024-11-12T14:20:54Z</dcterms:modified>
  <cp:revision>270</cp:revision>
  <dc:subject/>
  <dc:title/>
</cp:coreProperties>
</file>

<file path=docProps/custom.xml><?xml version="1.0" encoding="utf-8"?>
<Properties xmlns="http://schemas.openxmlformats.org/officeDocument/2006/custom-properties" xmlns:vt="http://schemas.openxmlformats.org/officeDocument/2006/docPropsVTypes"/>
</file>